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 w:cs="Noto Sans"/>
          <w:sz w:val="22"/>
          <w:szCs w:val="22"/>
        </w:rPr>
        <w:id w:val="940726057"/>
        <w:docPartObj>
          <w:docPartGallery w:val="Cover Pages"/>
          <w:docPartUnique/>
        </w:docPartObj>
      </w:sdtPr>
      <w:sdtEndPr/>
      <w:sdtContent>
        <w:p w14:paraId="59340705" w14:textId="44FD189B" w:rsidR="00B86A0E" w:rsidRPr="00997309" w:rsidRDefault="004468C9">
          <w:pPr>
            <w:rPr>
              <w:rFonts w:ascii="Noto Sans" w:hAnsi="Noto Sans" w:cs="Noto Sans"/>
              <w:sz w:val="22"/>
              <w:szCs w:val="22"/>
            </w:rPr>
          </w:pPr>
          <w:r w:rsidRPr="00997309">
            <w:rPr>
              <w:rFonts w:ascii="Noto Sans" w:hAnsi="Noto Sans" w:cs="Noto Sans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C45AEE1" wp14:editId="0104C96D">
                    <wp:simplePos x="0" y="0"/>
                    <wp:positionH relativeFrom="page">
                      <wp:posOffset>3400425</wp:posOffset>
                    </wp:positionH>
                    <wp:positionV relativeFrom="page">
                      <wp:posOffset>838200</wp:posOffset>
                    </wp:positionV>
                    <wp:extent cx="3581400" cy="8143875"/>
                    <wp:effectExtent l="0" t="0" r="19050" b="28575"/>
                    <wp:wrapNone/>
                    <wp:docPr id="468" name="Rectángulo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1400" cy="81438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EF1C0E2" id="Rectángulo 261" o:spid="_x0000_s1026" style="position:absolute;margin-left:267.75pt;margin-top:66pt;width:282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" fillcolor="white [3212]" strokecolor="#737373 [1614]" strokeweight="1.25pt">
                    <w10:wrap anchorx="page" anchory="page"/>
                  </v:rect>
                </w:pict>
              </mc:Fallback>
            </mc:AlternateContent>
          </w:r>
          <w:r w:rsidRPr="00997309">
            <w:rPr>
              <w:rFonts w:ascii="Noto Sans" w:hAnsi="Noto Sans" w:cs="Noto Sans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2B31966" wp14:editId="7873D8E2">
                    <wp:simplePos x="0" y="0"/>
                    <wp:positionH relativeFrom="page">
                      <wp:posOffset>3505200</wp:posOffset>
                    </wp:positionH>
                    <wp:positionV relativeFrom="page">
                      <wp:posOffset>1191895</wp:posOffset>
                    </wp:positionV>
                    <wp:extent cx="3314700" cy="2569845"/>
                    <wp:effectExtent l="0" t="0" r="0" b="1905"/>
                    <wp:wrapNone/>
                    <wp:docPr id="467" name="Rectángulo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14700" cy="2569845"/>
                            </a:xfrm>
                            <a:prstGeom prst="rect">
                              <a:avLst/>
                            </a:prstGeom>
                            <a:solidFill>
                              <a:srgbClr val="9C234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eastAsia="Calibri"/>
                                    <w:sz w:val="52"/>
                                  </w:rPr>
                                  <w:alias w:val="Título"/>
                                  <w:id w:val="-123138453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6090199E" w14:textId="70177660" w:rsidR="00B86A0E" w:rsidRPr="00A0504E" w:rsidRDefault="005E7F7C" w:rsidP="00003C2C">
                                    <w:pPr>
                                      <w:spacing w:line="240" w:lineRule="auto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 w:rsidRPr="005E7F7C">
                                      <w:rPr>
                                        <w:rFonts w:eastAsia="Calibri"/>
                                        <w:sz w:val="52"/>
                                      </w:rPr>
                                      <w:t>Informe Final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B31966" id="Rectángulo 259" o:spid="_x0000_s1026" style="position:absolute;margin-left:276pt;margin-top:93.85pt;width:261pt;height:202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" fillcolor="#9c2348" stroked="f" strokeweight="1.5pt">
                    <v:textbox inset="14.4pt,14.4pt,14.4pt,28.8pt">
                      <w:txbxContent>
                        <w:sdt>
                          <w:sdtPr>
                            <w:rPr>
                              <w:rFonts w:eastAsia="Calibri"/>
                              <w:sz w:val="52"/>
                            </w:rPr>
                            <w:alias w:val="Título"/>
                            <w:id w:val="-123138453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090199E" w14:textId="70177660" w:rsidR="00B86A0E" w:rsidRPr="00A0504E" w:rsidRDefault="005E7F7C" w:rsidP="00003C2C">
                              <w:pPr>
                                <w:spacing w:line="240" w:lineRule="auto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5E7F7C">
                                <w:rPr>
                                  <w:rFonts w:eastAsia="Calibri"/>
                                  <w:sz w:val="52"/>
                                </w:rPr>
                                <w:t>Informe Final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B86A0E" w:rsidRPr="00997309">
            <w:rPr>
              <w:rFonts w:ascii="Noto Sans" w:hAnsi="Noto Sans" w:cs="Noto Sans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4" behindDoc="1" locked="0" layoutInCell="1" allowOverlap="1" wp14:anchorId="073C2BE2" wp14:editId="0CD6E238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ángulo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solidFill>
                              <a:srgbClr val="6213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9CBDEB6" w14:textId="77777777" w:rsidR="00B86A0E" w:rsidRDefault="00B86A0E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073C2BE2" id="Rectángulo 257" o:spid="_x0000_s1027" style="position:absolute;margin-left:0;margin-top:0;width:581.4pt;height:752.4pt;z-index:-2516582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" fillcolor="#621333" stroked="f" strokeweight="1.5pt">
                    <v:textbox inset="21.6pt,,21.6pt">
                      <w:txbxContent>
                        <w:p w14:paraId="29CBDEB6" w14:textId="77777777" w:rsidR="00B86A0E" w:rsidRDefault="00B86A0E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3DE63BF9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046E267A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378E4DE2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08DBB6C3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2954F368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2146EEE4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00F2C095" w14:textId="1EF77EA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5D3DF9A4" w14:textId="0895951B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43D3EF5F" w14:textId="6D85F350" w:rsidR="00B86A0E" w:rsidRPr="00997309" w:rsidRDefault="004468C9">
          <w:pPr>
            <w:rPr>
              <w:rFonts w:ascii="Noto Sans" w:hAnsi="Noto Sans" w:cs="Noto Sans"/>
              <w:sz w:val="22"/>
              <w:szCs w:val="22"/>
            </w:rPr>
          </w:pPr>
          <w:r w:rsidRPr="00997309">
            <w:rPr>
              <w:rFonts w:ascii="Noto Sans" w:hAnsi="Noto Sans" w:cs="Noto Sans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256322AC" wp14:editId="0BF5C52D">
                    <wp:simplePos x="0" y="0"/>
                    <wp:positionH relativeFrom="page">
                      <wp:posOffset>3676650</wp:posOffset>
                    </wp:positionH>
                    <wp:positionV relativeFrom="page">
                      <wp:posOffset>4019550</wp:posOffset>
                    </wp:positionV>
                    <wp:extent cx="2867025" cy="2475230"/>
                    <wp:effectExtent l="0" t="0" r="0" b="1270"/>
                    <wp:wrapSquare wrapText="bothSides"/>
                    <wp:docPr id="470" name="Cuadro de texto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67025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9A6B293" w14:textId="7EC8712E" w:rsidR="00B86A0E" w:rsidRPr="006A1EF5" w:rsidRDefault="006A1EF5" w:rsidP="00B86A0E">
                                <w:pPr>
                                  <w:rPr>
                                    <w:rFonts w:asciiTheme="majorHAnsi" w:eastAsiaTheme="majorEastAsia" w:hAnsiTheme="majorHAnsi" w:cstheme="majorBidi"/>
                                    <w:sz w:val="32"/>
                                    <w:szCs w:val="32"/>
                                  </w:rPr>
                                </w:pPr>
                                <w:r w:rsidRPr="006A1EF5">
                                  <w:rPr>
                                    <w:rFonts w:eastAsia="Calibri"/>
                                    <w:sz w:val="44"/>
                                    <w:szCs w:val="20"/>
                                  </w:rPr>
                                  <w:t>Contraloría Social del Pp S247 PRODEP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256322AC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65" o:spid="_x0000_s1028" type="#_x0000_t202" style="position:absolute;margin-left:289.5pt;margin-top:316.5pt;width:225.75pt;height:194.9pt;z-index:251658242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" filled="f" stroked="f" strokeweight=".5pt">
                    <v:textbox style="mso-fit-shape-to-text:t">
                      <w:txbxContent>
                        <w:p w14:paraId="49A6B293" w14:textId="7EC8712E" w:rsidR="00B86A0E" w:rsidRPr="006A1EF5" w:rsidRDefault="006A1EF5" w:rsidP="00B86A0E">
                          <w:pPr>
                            <w:rPr>
                              <w:rFonts w:asciiTheme="majorHAnsi" w:eastAsiaTheme="majorEastAsia" w:hAnsiTheme="majorHAnsi" w:cstheme="majorBidi"/>
                              <w:sz w:val="32"/>
                              <w:szCs w:val="32"/>
                            </w:rPr>
                          </w:pPr>
                          <w:r w:rsidRPr="006A1EF5">
                            <w:rPr>
                              <w:rFonts w:eastAsia="Calibri"/>
                              <w:sz w:val="44"/>
                              <w:szCs w:val="20"/>
                            </w:rPr>
                            <w:t>Contraloría Social del Pp S247 PRODEP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148C7CE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276E9A53" w14:textId="77777777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34829652" w14:textId="41D84F6D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3BEF4CF6" w14:textId="79B81532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4C3B7F31" w14:textId="2F605545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79A54476" w14:textId="1534866B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45399A75" w14:textId="0B15D825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3C4E4027" w14:textId="1188DCF8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160267C1" w14:textId="4BAA6715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106216A8" w14:textId="5FC92B55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4966A742" w14:textId="488700C4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58385663" w14:textId="439054AA" w:rsidR="00B86A0E" w:rsidRPr="00997309" w:rsidRDefault="004468C9">
          <w:pPr>
            <w:rPr>
              <w:rFonts w:ascii="Noto Sans" w:hAnsi="Noto Sans" w:cs="Noto Sans"/>
              <w:sz w:val="22"/>
              <w:szCs w:val="22"/>
            </w:rPr>
          </w:pPr>
          <w:r w:rsidRPr="00997309">
            <w:rPr>
              <w:rFonts w:ascii="Noto Sans" w:hAnsi="Noto Sans" w:cs="Noto Sans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3BFE2D7F" wp14:editId="1F5F0194">
                    <wp:simplePos x="0" y="0"/>
                    <wp:positionH relativeFrom="page">
                      <wp:posOffset>3533775</wp:posOffset>
                    </wp:positionH>
                    <wp:positionV relativeFrom="margin">
                      <wp:posOffset>7014845</wp:posOffset>
                    </wp:positionV>
                    <wp:extent cx="3257550" cy="666750"/>
                    <wp:effectExtent l="0" t="0" r="0" b="0"/>
                    <wp:wrapSquare wrapText="bothSides"/>
                    <wp:docPr id="465" name="Cuadro de texto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57550" cy="666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6C75091" w14:textId="77777777" w:rsidR="001E0974" w:rsidRPr="004468C9" w:rsidRDefault="001E0974" w:rsidP="00B86A0E">
                                <w:pPr>
                                  <w:rPr>
                                    <w:rFonts w:eastAsia="Calibri"/>
                                    <w:b/>
                                    <w:bCs/>
                                    <w:color w:val="262626"/>
                                    <w:szCs w:val="32"/>
                                  </w:rPr>
                                </w:pPr>
                                <w:r w:rsidRPr="004468C9">
                                  <w:rPr>
                                    <w:rFonts w:eastAsia="Calibri"/>
                                    <w:b/>
                                    <w:bCs/>
                                    <w:color w:val="262626"/>
                                    <w:szCs w:val="32"/>
                                  </w:rPr>
                                  <w:t>Dirección General de Educación Superior Universitaria (DGESUI)</w:t>
                                </w:r>
                              </w:p>
                              <w:p w14:paraId="154C1FA9" w14:textId="58130F6A" w:rsidR="00B86A0E" w:rsidRDefault="00B86A0E">
                                <w:pPr>
                                  <w:pStyle w:val="Sinespaciado"/>
                                  <w:rPr>
                                    <w:color w:val="0E2841" w:themeColor="text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FE2D7F" id="Cuadro de texto 255" o:spid="_x0000_s1029" type="#_x0000_t202" style="position:absolute;margin-left:278.25pt;margin-top:552.35pt;width:256.5pt;height:52.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" filled="f" stroked="f" strokeweight=".5pt">
                    <v:textbox>
                      <w:txbxContent>
                        <w:p w14:paraId="16C75091" w14:textId="77777777" w:rsidR="001E0974" w:rsidRPr="004468C9" w:rsidRDefault="001E0974" w:rsidP="00B86A0E">
                          <w:pPr>
                            <w:rPr>
                              <w:rFonts w:eastAsia="Calibri"/>
                              <w:b/>
                              <w:bCs/>
                              <w:color w:val="262626"/>
                              <w:szCs w:val="32"/>
                            </w:rPr>
                          </w:pPr>
                          <w:r w:rsidRPr="004468C9">
                            <w:rPr>
                              <w:rFonts w:eastAsia="Calibri"/>
                              <w:b/>
                              <w:bCs/>
                              <w:color w:val="262626"/>
                              <w:szCs w:val="32"/>
                            </w:rPr>
                            <w:t>Dirección General de Educación Superior Universitaria (DGESUI)</w:t>
                          </w:r>
                        </w:p>
                        <w:p w14:paraId="154C1FA9" w14:textId="58130F6A" w:rsidR="00B86A0E" w:rsidRDefault="00B86A0E">
                          <w:pPr>
                            <w:pStyle w:val="Sinespaciado"/>
                            <w:rPr>
                              <w:color w:val="0E2841" w:themeColor="text2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14:paraId="181007F1" w14:textId="478F3E96" w:rsidR="00B86A0E" w:rsidRPr="00997309" w:rsidRDefault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3BA87AD1" w14:textId="5D60D995" w:rsidR="00B86A0E" w:rsidRPr="00997309" w:rsidRDefault="004468C9" w:rsidP="00B86A0E">
          <w:pPr>
            <w:rPr>
              <w:rFonts w:ascii="Noto Sans" w:hAnsi="Noto Sans" w:cs="Noto Sans"/>
              <w:sz w:val="22"/>
              <w:szCs w:val="22"/>
            </w:rPr>
          </w:pPr>
          <w:r w:rsidRPr="00997309">
            <w:rPr>
              <w:rFonts w:ascii="Noto Sans" w:hAnsi="Noto Sans" w:cs="Noto Sans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690A5E18" wp14:editId="0CF622D9">
                    <wp:simplePos x="0" y="0"/>
                    <wp:positionH relativeFrom="page">
                      <wp:posOffset>3612515</wp:posOffset>
                    </wp:positionH>
                    <wp:positionV relativeFrom="page">
                      <wp:posOffset>8455025</wp:posOffset>
                    </wp:positionV>
                    <wp:extent cx="2875915" cy="118745"/>
                    <wp:effectExtent l="0" t="0" r="635" b="0"/>
                    <wp:wrapNone/>
                    <wp:docPr id="469" name="Rectángulo 2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solidFill>
                              <a:srgbClr val="9C234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D7BF48" id="Rectángulo 263" o:spid="_x0000_s1026" style="position:absolute;margin-left:284.45pt;margin-top:665.75pt;width:226.45pt;height:9.35pt;z-index:251658243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" fillcolor="#9c2348" stroked="f" strokeweight="1.5pt">
                    <w10:wrap anchorx="page" anchory="page"/>
                  </v:rect>
                </w:pict>
              </mc:Fallback>
            </mc:AlternateContent>
          </w:r>
        </w:p>
        <w:p w14:paraId="46CF46F0" w14:textId="11C00FFE" w:rsidR="00B86A0E" w:rsidRPr="00997309" w:rsidRDefault="00B86A0E" w:rsidP="00B86A0E">
          <w:pPr>
            <w:rPr>
              <w:rFonts w:ascii="Noto Sans" w:hAnsi="Noto Sans" w:cs="Noto Sans"/>
              <w:sz w:val="22"/>
              <w:szCs w:val="22"/>
            </w:rPr>
          </w:pPr>
        </w:p>
        <w:p w14:paraId="26FF79DA" w14:textId="497C7632" w:rsidR="00B86A0E" w:rsidRPr="00997309" w:rsidRDefault="00C5510F" w:rsidP="00B86A0E">
          <w:pPr>
            <w:rPr>
              <w:rFonts w:ascii="Noto Sans" w:hAnsi="Noto Sans" w:cs="Noto Sans"/>
              <w:sz w:val="22"/>
              <w:szCs w:val="22"/>
            </w:rPr>
          </w:pPr>
        </w:p>
      </w:sdtContent>
    </w:sdt>
    <w:p w14:paraId="0C2EAF2F" w14:textId="77777777" w:rsidR="00B86A0E" w:rsidRDefault="00B86A0E" w:rsidP="00892143">
      <w:pPr>
        <w:pStyle w:val="Ttulo1"/>
        <w:rPr>
          <w:b/>
          <w:bCs/>
          <w:sz w:val="36"/>
          <w:szCs w:val="36"/>
        </w:rPr>
      </w:pPr>
      <w:r w:rsidRPr="00892143">
        <w:rPr>
          <w:b/>
          <w:bCs/>
          <w:sz w:val="36"/>
          <w:szCs w:val="36"/>
        </w:rPr>
        <w:lastRenderedPageBreak/>
        <w:t>Introducción</w:t>
      </w:r>
    </w:p>
    <w:p w14:paraId="573927B0" w14:textId="77777777" w:rsidR="003179E3" w:rsidRPr="003179E3" w:rsidRDefault="003179E3" w:rsidP="003179E3">
      <w:pPr>
        <w:rPr>
          <w:sz w:val="20"/>
          <w:szCs w:val="20"/>
        </w:rPr>
      </w:pPr>
    </w:p>
    <w:p w14:paraId="41A2313A" w14:textId="4EE95AF3" w:rsidR="0035301D" w:rsidRDefault="0035301D" w:rsidP="00B86A0E">
      <w:pPr>
        <w:jc w:val="both"/>
        <w:rPr>
          <w:rFonts w:ascii="Noto Sans" w:hAnsi="Noto Sans" w:cs="Noto Sans"/>
          <w:sz w:val="22"/>
          <w:szCs w:val="22"/>
        </w:rPr>
      </w:pPr>
      <w:r w:rsidRPr="0035301D">
        <w:rPr>
          <w:rFonts w:ascii="Noto Sans" w:hAnsi="Noto Sans" w:cs="Noto Sans"/>
          <w:sz w:val="22"/>
          <w:szCs w:val="22"/>
        </w:rPr>
        <w:t>La Ley General de Desarrollo Social establece que la Contraloría Social es “el mecanismo de los beneficiarios, de manera organizada, para verificar el cumplimiento de las metas y la correcta aplicación de los recursos públicos asignados a los programas de desarrollo social”</w:t>
      </w:r>
      <w:r>
        <w:rPr>
          <w:rStyle w:val="Refdenotaalpie"/>
          <w:rFonts w:ascii="Noto Sans" w:hAnsi="Noto Sans" w:cs="Noto Sans"/>
          <w:sz w:val="22"/>
          <w:szCs w:val="22"/>
        </w:rPr>
        <w:footnoteReference w:id="1"/>
      </w:r>
      <w:r w:rsidRPr="0035301D">
        <w:rPr>
          <w:rFonts w:ascii="Noto Sans" w:hAnsi="Noto Sans" w:cs="Noto Sans"/>
          <w:sz w:val="22"/>
          <w:szCs w:val="22"/>
        </w:rPr>
        <w:t>; e indica, en el artículo 70, que “</w:t>
      </w:r>
      <w:r w:rsidRPr="002601B7">
        <w:rPr>
          <w:rFonts w:ascii="Noto Sans" w:hAnsi="Noto Sans" w:cs="Noto Sans"/>
          <w:i/>
          <w:iCs/>
          <w:sz w:val="22"/>
          <w:szCs w:val="22"/>
        </w:rPr>
        <w:t>El Gobierno Federal impulsará la Contraloría Social y le facilitará el acceso a la información necesaria para el cumplimiento de sus funciones</w:t>
      </w:r>
      <w:r w:rsidRPr="0035301D">
        <w:rPr>
          <w:rFonts w:ascii="Noto Sans" w:hAnsi="Noto Sans" w:cs="Noto Sans"/>
          <w:sz w:val="22"/>
          <w:szCs w:val="22"/>
        </w:rPr>
        <w:t>”</w:t>
      </w:r>
    </w:p>
    <w:p w14:paraId="7C433D73" w14:textId="5525228D" w:rsidR="0035301D" w:rsidRDefault="0035301D" w:rsidP="00B86A0E">
      <w:pPr>
        <w:jc w:val="both"/>
        <w:rPr>
          <w:rFonts w:ascii="Noto Sans" w:hAnsi="Noto Sans" w:cs="Noto Sans"/>
          <w:sz w:val="22"/>
          <w:szCs w:val="22"/>
        </w:rPr>
      </w:pPr>
      <w:r w:rsidRPr="0035301D">
        <w:rPr>
          <w:rFonts w:ascii="Noto Sans" w:hAnsi="Noto Sans" w:cs="Noto Sans"/>
          <w:sz w:val="22"/>
          <w:szCs w:val="22"/>
        </w:rPr>
        <w:t>La Contraloría Social se sustenta jurídicamente en los derechos de información, de petición, de asociación y de participación en diversos sectores de la sociedad para la planeación democrática del desarrollo nacional, los cuales están plasmados en la Constitución Política de los Estados Unidos Mexicano, en los artículos</w:t>
      </w:r>
      <w:r>
        <w:rPr>
          <w:rFonts w:ascii="Noto Sans" w:hAnsi="Noto Sans" w:cs="Noto Sans"/>
          <w:sz w:val="22"/>
          <w:szCs w:val="22"/>
        </w:rPr>
        <w:t xml:space="preserve"> 6, 8</w:t>
      </w:r>
      <w:r w:rsidR="002601B7">
        <w:rPr>
          <w:rFonts w:ascii="Noto Sans" w:hAnsi="Noto Sans" w:cs="Noto Sans"/>
          <w:sz w:val="22"/>
          <w:szCs w:val="22"/>
        </w:rPr>
        <w:t>,</w:t>
      </w:r>
      <w:r>
        <w:rPr>
          <w:rFonts w:ascii="Noto Sans" w:hAnsi="Noto Sans" w:cs="Noto Sans"/>
          <w:sz w:val="22"/>
          <w:szCs w:val="22"/>
        </w:rPr>
        <w:t xml:space="preserve"> 9 y 26</w:t>
      </w:r>
      <w:r w:rsidR="002601B7">
        <w:rPr>
          <w:rFonts w:ascii="Noto Sans" w:hAnsi="Noto Sans" w:cs="Noto Sans"/>
          <w:sz w:val="22"/>
          <w:szCs w:val="22"/>
        </w:rPr>
        <w:t>.</w:t>
      </w:r>
    </w:p>
    <w:p w14:paraId="49FF66B0" w14:textId="2DE003C0" w:rsidR="00813F66" w:rsidRDefault="002601B7" w:rsidP="00B86A0E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En este contexto</w:t>
      </w:r>
      <w:r w:rsidR="00813F66">
        <w:rPr>
          <w:rFonts w:ascii="Noto Sans" w:hAnsi="Noto Sans" w:cs="Noto Sans"/>
          <w:sz w:val="22"/>
          <w:szCs w:val="22"/>
        </w:rPr>
        <w:t>,</w:t>
      </w:r>
      <w:r>
        <w:rPr>
          <w:rFonts w:ascii="Noto Sans" w:hAnsi="Noto Sans" w:cs="Noto Sans"/>
          <w:sz w:val="22"/>
          <w:szCs w:val="22"/>
        </w:rPr>
        <w:t xml:space="preserve"> el Programa presupuestario </w:t>
      </w:r>
      <w:r w:rsidRPr="005E24CC">
        <w:rPr>
          <w:rFonts w:ascii="Noto Sans" w:hAnsi="Noto Sans" w:cs="Noto Sans"/>
          <w:b/>
          <w:bCs/>
          <w:sz w:val="22"/>
          <w:szCs w:val="22"/>
        </w:rPr>
        <w:t>S247 Programa para el Desarrollo Profesional Docente (PRODEP)</w:t>
      </w:r>
      <w:r>
        <w:rPr>
          <w:rFonts w:ascii="Noto Sans" w:hAnsi="Noto Sans" w:cs="Noto Sans"/>
          <w:sz w:val="22"/>
          <w:szCs w:val="22"/>
        </w:rPr>
        <w:t>, para el Tipo Superior en el ámbito de competencia de la Dirección General de Educación Superior Universitaria e Intercultural (DGESUI)</w:t>
      </w:r>
      <w:r w:rsidR="00813F66">
        <w:rPr>
          <w:rFonts w:ascii="Noto Sans" w:hAnsi="Noto Sans" w:cs="Noto Sans"/>
          <w:sz w:val="22"/>
          <w:szCs w:val="22"/>
        </w:rPr>
        <w:t>,</w:t>
      </w:r>
      <w:r>
        <w:rPr>
          <w:rFonts w:ascii="Noto Sans" w:hAnsi="Noto Sans" w:cs="Noto Sans"/>
          <w:sz w:val="22"/>
          <w:szCs w:val="22"/>
        </w:rPr>
        <w:t xml:space="preserve"> </w:t>
      </w:r>
      <w:r w:rsidR="00813F66">
        <w:rPr>
          <w:rFonts w:ascii="Noto Sans" w:hAnsi="Noto Sans" w:cs="Noto Sans"/>
          <w:sz w:val="22"/>
          <w:szCs w:val="22"/>
        </w:rPr>
        <w:t xml:space="preserve">estableció y operó el mecanismo de contraloría social con las Instituciones Públicas de Educación Superior (IPES) que resultaron beneficiadas con la asignación de los recursos económicos del Programa </w:t>
      </w:r>
      <w:r w:rsidR="00762062">
        <w:rPr>
          <w:rFonts w:ascii="Noto Sans" w:hAnsi="Noto Sans" w:cs="Noto Sans"/>
          <w:sz w:val="22"/>
          <w:szCs w:val="22"/>
        </w:rPr>
        <w:t>en</w:t>
      </w:r>
      <w:r w:rsidR="00813F66">
        <w:rPr>
          <w:rFonts w:ascii="Noto Sans" w:hAnsi="Noto Sans" w:cs="Noto Sans"/>
          <w:sz w:val="22"/>
          <w:szCs w:val="22"/>
        </w:rPr>
        <w:t xml:space="preserve"> el ejercicio fiscal 2025, en el marco de las siguientes convocatorias:</w:t>
      </w:r>
    </w:p>
    <w:p w14:paraId="14C9B298" w14:textId="77777777" w:rsidR="003179E3" w:rsidRDefault="003179E3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58995392" w14:textId="77777777" w:rsidR="00813F66" w:rsidRPr="00EF54F7" w:rsidRDefault="00813F66" w:rsidP="00813F66">
      <w:pPr>
        <w:pStyle w:val="Prrafodelista"/>
        <w:numPr>
          <w:ilvl w:val="0"/>
          <w:numId w:val="8"/>
        </w:numPr>
        <w:jc w:val="both"/>
        <w:rPr>
          <w:rFonts w:ascii="Noto Sans" w:hAnsi="Noto Sans" w:cs="Noto Sans"/>
          <w:color w:val="000000" w:themeColor="text1"/>
          <w:sz w:val="22"/>
          <w:szCs w:val="22"/>
        </w:rPr>
      </w:pPr>
      <w:r w:rsidRPr="00EF54F7">
        <w:rPr>
          <w:rFonts w:ascii="Noto Sans" w:hAnsi="Noto Sans" w:cs="Noto Sans"/>
          <w:color w:val="000000" w:themeColor="text1"/>
          <w:sz w:val="22"/>
          <w:szCs w:val="22"/>
        </w:rPr>
        <w:t>Apoyo a Profesores de Tiempo Completo con Perfil Deseable.</w:t>
      </w:r>
    </w:p>
    <w:p w14:paraId="0D27F404" w14:textId="77777777" w:rsidR="00813F66" w:rsidRPr="00EF54F7" w:rsidRDefault="00813F66" w:rsidP="00813F66">
      <w:pPr>
        <w:pStyle w:val="Prrafodelista"/>
        <w:numPr>
          <w:ilvl w:val="0"/>
          <w:numId w:val="8"/>
        </w:numPr>
        <w:jc w:val="both"/>
        <w:rPr>
          <w:rFonts w:ascii="Noto Sans" w:hAnsi="Noto Sans" w:cs="Noto Sans"/>
          <w:color w:val="000000" w:themeColor="text1"/>
          <w:sz w:val="22"/>
          <w:szCs w:val="22"/>
        </w:rPr>
      </w:pPr>
      <w:r w:rsidRPr="00EF54F7">
        <w:rPr>
          <w:rFonts w:ascii="Noto Sans" w:hAnsi="Noto Sans" w:cs="Noto Sans"/>
          <w:color w:val="000000" w:themeColor="text1"/>
          <w:sz w:val="22"/>
          <w:szCs w:val="22"/>
        </w:rPr>
        <w:t>Consolidación de las Universidades Interculturales.</w:t>
      </w:r>
    </w:p>
    <w:p w14:paraId="072B9F06" w14:textId="77777777" w:rsidR="00EE665B" w:rsidRDefault="00EE665B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116ABD10" w14:textId="77777777" w:rsidR="00813F66" w:rsidRDefault="00813F66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29AA2DAE" w14:textId="77777777" w:rsidR="00813F66" w:rsidRDefault="00813F66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27C4E59C" w14:textId="77777777" w:rsidR="00813F66" w:rsidRDefault="00813F66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46D6BD0F" w14:textId="77777777" w:rsidR="00813F66" w:rsidRDefault="00813F66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5A86EA5F" w14:textId="77777777" w:rsidR="00813F66" w:rsidRDefault="00813F66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697ABF0F" w14:textId="0C8BE634" w:rsidR="00B86A0E" w:rsidRPr="00892143" w:rsidRDefault="00DF31EB" w:rsidP="00892143">
      <w:pPr>
        <w:pStyle w:val="Ttulo1"/>
        <w:rPr>
          <w:b/>
          <w:bCs/>
          <w:sz w:val="36"/>
          <w:szCs w:val="36"/>
        </w:rPr>
      </w:pPr>
      <w:r w:rsidRPr="00892143">
        <w:rPr>
          <w:b/>
          <w:bCs/>
          <w:sz w:val="36"/>
          <w:szCs w:val="36"/>
        </w:rPr>
        <w:lastRenderedPageBreak/>
        <w:t>Poblaciones</w:t>
      </w:r>
    </w:p>
    <w:p w14:paraId="1C77C6DB" w14:textId="65C7E044" w:rsidR="005F1B5A" w:rsidRPr="00966C3E" w:rsidRDefault="00CD3649" w:rsidP="005F1B5A">
      <w:pPr>
        <w:jc w:val="both"/>
        <w:rPr>
          <w:rFonts w:ascii="Noto Sans" w:hAnsi="Noto Sans" w:cs="Noto Sans"/>
          <w:sz w:val="22"/>
          <w:szCs w:val="22"/>
        </w:rPr>
      </w:pPr>
      <w:r w:rsidRPr="00B20CAB">
        <w:rPr>
          <w:rFonts w:ascii="Noto Sans" w:hAnsi="Noto Sans" w:cs="Noto Sans"/>
          <w:sz w:val="22"/>
          <w:szCs w:val="22"/>
        </w:rPr>
        <w:t xml:space="preserve">El Pp S247 </w:t>
      </w:r>
      <w:r w:rsidR="003C67CD">
        <w:rPr>
          <w:rFonts w:ascii="Noto Sans" w:hAnsi="Noto Sans" w:cs="Noto Sans"/>
          <w:sz w:val="22"/>
          <w:szCs w:val="22"/>
        </w:rPr>
        <w:t>PRODEP</w:t>
      </w:r>
      <w:r w:rsidRPr="00B20CAB">
        <w:rPr>
          <w:rFonts w:ascii="Noto Sans" w:hAnsi="Noto Sans" w:cs="Noto Sans"/>
          <w:sz w:val="22"/>
          <w:szCs w:val="22"/>
        </w:rPr>
        <w:t xml:space="preserve"> </w:t>
      </w:r>
      <w:r w:rsidR="00423C54" w:rsidRPr="00B20CAB">
        <w:rPr>
          <w:rFonts w:ascii="Noto Sans" w:hAnsi="Noto Sans" w:cs="Noto Sans"/>
          <w:sz w:val="22"/>
          <w:szCs w:val="22"/>
        </w:rPr>
        <w:t>tiene una cobertura nacional que</w:t>
      </w:r>
      <w:r w:rsidR="005F1B5A" w:rsidRPr="00B20CAB">
        <w:rPr>
          <w:rFonts w:ascii="Noto Sans" w:hAnsi="Noto Sans" w:cs="Noto Sans"/>
          <w:sz w:val="22"/>
          <w:szCs w:val="22"/>
        </w:rPr>
        <w:t xml:space="preserve"> se encuentra integradas por las</w:t>
      </w:r>
      <w:r w:rsidR="005F1B5A">
        <w:rPr>
          <w:rFonts w:ascii="Noto Sans" w:hAnsi="Noto Sans" w:cs="Noto Sans"/>
          <w:b/>
          <w:bCs/>
          <w:sz w:val="22"/>
          <w:szCs w:val="22"/>
        </w:rPr>
        <w:t xml:space="preserve"> </w:t>
      </w:r>
      <w:r w:rsidR="005F1B5A">
        <w:rPr>
          <w:rFonts w:ascii="Noto Sans" w:hAnsi="Noto Sans" w:cs="Noto Sans"/>
          <w:sz w:val="22"/>
          <w:szCs w:val="22"/>
        </w:rPr>
        <w:t>Universidades Públicas Estatales (UPES), las Universidades Públicas Estatales de Apoyo Solidario (UPEAS) y las Universidades Interculturales (UUII) que se encuentran distribuidas en</w:t>
      </w:r>
      <w:r w:rsidR="00B20CAB">
        <w:rPr>
          <w:rFonts w:ascii="Noto Sans" w:hAnsi="Noto Sans" w:cs="Noto Sans"/>
          <w:sz w:val="22"/>
          <w:szCs w:val="22"/>
        </w:rPr>
        <w:t xml:space="preserve"> </w:t>
      </w:r>
      <w:r w:rsidR="00844CDC">
        <w:rPr>
          <w:rFonts w:ascii="Noto Sans" w:hAnsi="Noto Sans" w:cs="Noto Sans"/>
          <w:sz w:val="22"/>
          <w:szCs w:val="22"/>
        </w:rPr>
        <w:t xml:space="preserve">las 32 Entidades Federativas que conforman </w:t>
      </w:r>
      <w:r w:rsidR="00B20CAB">
        <w:rPr>
          <w:rFonts w:ascii="Noto Sans" w:hAnsi="Noto Sans" w:cs="Noto Sans"/>
          <w:sz w:val="22"/>
          <w:szCs w:val="22"/>
        </w:rPr>
        <w:t xml:space="preserve">el territorio </w:t>
      </w:r>
      <w:r w:rsidR="00844CDC">
        <w:rPr>
          <w:rFonts w:ascii="Noto Sans" w:hAnsi="Noto Sans" w:cs="Noto Sans"/>
          <w:sz w:val="22"/>
          <w:szCs w:val="22"/>
        </w:rPr>
        <w:t>nacional.</w:t>
      </w:r>
    </w:p>
    <w:p w14:paraId="01F594C3" w14:textId="56238018" w:rsidR="005B012A" w:rsidRDefault="00E97340" w:rsidP="00B86A0E">
      <w:pPr>
        <w:jc w:val="both"/>
        <w:rPr>
          <w:rFonts w:ascii="Noto Sans" w:hAnsi="Noto Sans" w:cs="Noto Sans"/>
          <w:sz w:val="22"/>
          <w:szCs w:val="22"/>
        </w:rPr>
      </w:pPr>
      <w:r w:rsidRPr="00966C3E">
        <w:rPr>
          <w:rFonts w:ascii="Noto Sans" w:hAnsi="Noto Sans" w:cs="Noto Sans"/>
          <w:sz w:val="22"/>
          <w:szCs w:val="22"/>
        </w:rPr>
        <w:t xml:space="preserve">La </w:t>
      </w:r>
      <w:r w:rsidR="006250DD" w:rsidRPr="00DF31EB">
        <w:rPr>
          <w:rFonts w:ascii="Noto Sans" w:hAnsi="Noto Sans" w:cs="Noto Sans"/>
          <w:b/>
          <w:bCs/>
          <w:sz w:val="22"/>
          <w:szCs w:val="22"/>
        </w:rPr>
        <w:t>Población Objetivo</w:t>
      </w:r>
      <w:r w:rsidR="006250DD" w:rsidRPr="00966C3E">
        <w:rPr>
          <w:rFonts w:ascii="Noto Sans" w:hAnsi="Noto Sans" w:cs="Noto Sans"/>
          <w:sz w:val="22"/>
          <w:szCs w:val="22"/>
        </w:rPr>
        <w:t xml:space="preserve"> </w:t>
      </w:r>
      <w:r w:rsidR="006250DD" w:rsidRPr="006250DD">
        <w:rPr>
          <w:rFonts w:ascii="Noto Sans" w:hAnsi="Noto Sans" w:cs="Noto Sans"/>
          <w:b/>
          <w:bCs/>
          <w:sz w:val="22"/>
          <w:szCs w:val="22"/>
        </w:rPr>
        <w:t>(PO)</w:t>
      </w:r>
      <w:r w:rsidR="006250DD">
        <w:rPr>
          <w:rFonts w:ascii="Noto Sans" w:hAnsi="Noto Sans" w:cs="Noto Sans"/>
          <w:sz w:val="22"/>
          <w:szCs w:val="22"/>
        </w:rPr>
        <w:t xml:space="preserve"> </w:t>
      </w:r>
      <w:r w:rsidRPr="00966C3E">
        <w:rPr>
          <w:rFonts w:ascii="Noto Sans" w:hAnsi="Noto Sans" w:cs="Noto Sans"/>
          <w:sz w:val="22"/>
          <w:szCs w:val="22"/>
        </w:rPr>
        <w:t xml:space="preserve">del </w:t>
      </w:r>
      <w:r w:rsidR="007E5050" w:rsidRPr="00966C3E">
        <w:rPr>
          <w:rFonts w:ascii="Noto Sans" w:hAnsi="Noto Sans" w:cs="Noto Sans"/>
          <w:sz w:val="22"/>
          <w:szCs w:val="22"/>
        </w:rPr>
        <w:t>PRODEP</w:t>
      </w:r>
      <w:r w:rsidR="00325691">
        <w:rPr>
          <w:rFonts w:ascii="Noto Sans" w:hAnsi="Noto Sans" w:cs="Noto Sans"/>
          <w:sz w:val="22"/>
          <w:szCs w:val="22"/>
        </w:rPr>
        <w:t xml:space="preserve">, en el ámbito de competencia de la DGESUI, </w:t>
      </w:r>
      <w:r w:rsidR="007E5050" w:rsidRPr="00966C3E">
        <w:rPr>
          <w:rFonts w:ascii="Noto Sans" w:hAnsi="Noto Sans" w:cs="Noto Sans"/>
          <w:sz w:val="22"/>
          <w:szCs w:val="22"/>
        </w:rPr>
        <w:t xml:space="preserve">está conformada por las </w:t>
      </w:r>
      <w:r w:rsidR="007E5050" w:rsidRPr="00D51117">
        <w:rPr>
          <w:rFonts w:ascii="Noto Sans" w:hAnsi="Noto Sans" w:cs="Noto Sans"/>
          <w:b/>
          <w:bCs/>
          <w:sz w:val="22"/>
          <w:szCs w:val="22"/>
        </w:rPr>
        <w:t>87 IPES</w:t>
      </w:r>
      <w:r w:rsidR="007E5050" w:rsidRPr="00966C3E">
        <w:rPr>
          <w:rFonts w:ascii="Noto Sans" w:hAnsi="Noto Sans" w:cs="Noto Sans"/>
          <w:sz w:val="22"/>
          <w:szCs w:val="22"/>
        </w:rPr>
        <w:t xml:space="preserve"> que se </w:t>
      </w:r>
      <w:r w:rsidR="00D51117" w:rsidRPr="00966C3E">
        <w:rPr>
          <w:rFonts w:ascii="Noto Sans" w:hAnsi="Noto Sans" w:cs="Noto Sans"/>
          <w:sz w:val="22"/>
          <w:szCs w:val="22"/>
        </w:rPr>
        <w:t>encuentran enlistadas</w:t>
      </w:r>
      <w:r w:rsidR="00FD3027" w:rsidRPr="00966C3E">
        <w:rPr>
          <w:rFonts w:ascii="Noto Sans" w:hAnsi="Noto Sans" w:cs="Noto Sans"/>
          <w:sz w:val="22"/>
          <w:szCs w:val="22"/>
        </w:rPr>
        <w:t xml:space="preserve"> en el Anexo 3c de las Reglas de Operación</w:t>
      </w:r>
      <w:r w:rsidR="00966C3E" w:rsidRPr="00966C3E">
        <w:rPr>
          <w:rFonts w:ascii="Noto Sans" w:hAnsi="Noto Sans" w:cs="Noto Sans"/>
          <w:sz w:val="22"/>
          <w:szCs w:val="22"/>
        </w:rPr>
        <w:t xml:space="preserve"> vigentes.</w:t>
      </w:r>
    </w:p>
    <w:p w14:paraId="6881849F" w14:textId="502FEA93" w:rsidR="00DF31EB" w:rsidRDefault="000A1818" w:rsidP="00B86A0E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La </w:t>
      </w:r>
      <w:r w:rsidRPr="008A433D">
        <w:rPr>
          <w:rFonts w:ascii="Noto Sans" w:hAnsi="Noto Sans" w:cs="Noto Sans"/>
          <w:b/>
          <w:bCs/>
          <w:sz w:val="22"/>
          <w:szCs w:val="22"/>
        </w:rPr>
        <w:t>Población Beneficiada</w:t>
      </w:r>
      <w:r w:rsidR="006250DD">
        <w:rPr>
          <w:rFonts w:ascii="Noto Sans" w:hAnsi="Noto Sans" w:cs="Noto Sans"/>
          <w:b/>
          <w:bCs/>
          <w:sz w:val="22"/>
          <w:szCs w:val="22"/>
        </w:rPr>
        <w:t xml:space="preserve"> (PB)</w:t>
      </w:r>
      <w:r w:rsidR="00B8736C">
        <w:rPr>
          <w:rFonts w:ascii="Noto Sans" w:hAnsi="Noto Sans" w:cs="Noto Sans"/>
          <w:sz w:val="22"/>
          <w:szCs w:val="22"/>
        </w:rPr>
        <w:t>,</w:t>
      </w:r>
      <w:r>
        <w:rPr>
          <w:rFonts w:ascii="Noto Sans" w:hAnsi="Noto Sans" w:cs="Noto Sans"/>
          <w:sz w:val="22"/>
          <w:szCs w:val="22"/>
        </w:rPr>
        <w:t xml:space="preserve"> para el ejercicio fiscal 2025</w:t>
      </w:r>
      <w:r w:rsidR="00B8736C">
        <w:rPr>
          <w:rFonts w:ascii="Noto Sans" w:hAnsi="Noto Sans" w:cs="Noto Sans"/>
          <w:sz w:val="22"/>
          <w:szCs w:val="22"/>
        </w:rPr>
        <w:t xml:space="preserve">, fueron las </w:t>
      </w:r>
      <w:r w:rsidR="00B8736C" w:rsidRPr="008A433D">
        <w:rPr>
          <w:rFonts w:ascii="Noto Sans" w:hAnsi="Noto Sans" w:cs="Noto Sans"/>
          <w:b/>
          <w:bCs/>
          <w:sz w:val="22"/>
          <w:szCs w:val="22"/>
        </w:rPr>
        <w:t>61 IPES</w:t>
      </w:r>
      <w:r w:rsidR="00B8736C">
        <w:rPr>
          <w:rFonts w:ascii="Noto Sans" w:hAnsi="Noto Sans" w:cs="Noto Sans"/>
          <w:sz w:val="22"/>
          <w:szCs w:val="22"/>
        </w:rPr>
        <w:t xml:space="preserve"> que recibieron los recursos económicos </w:t>
      </w:r>
      <w:r w:rsidR="007E6472">
        <w:rPr>
          <w:rFonts w:ascii="Noto Sans" w:hAnsi="Noto Sans" w:cs="Noto Sans"/>
          <w:sz w:val="22"/>
          <w:szCs w:val="22"/>
        </w:rPr>
        <w:t>asignados al Programa en Presupuesto de Egresos de la Federación</w:t>
      </w:r>
      <w:r w:rsidR="008A433D">
        <w:rPr>
          <w:rFonts w:ascii="Noto Sans" w:hAnsi="Noto Sans" w:cs="Noto Sans"/>
          <w:sz w:val="22"/>
          <w:szCs w:val="22"/>
        </w:rPr>
        <w:t xml:space="preserve"> (PEF) correspondiente.</w:t>
      </w:r>
    </w:p>
    <w:p w14:paraId="10C5EBF0" w14:textId="77777777" w:rsidR="00BD285D" w:rsidRDefault="00BD285D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2DAC447B" w14:textId="44CBF062" w:rsidR="00BD285D" w:rsidRDefault="00BD285D" w:rsidP="00BD285D">
      <w:pPr>
        <w:jc w:val="center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noProof/>
          <w:sz w:val="22"/>
          <w:szCs w:val="22"/>
        </w:rPr>
        <w:drawing>
          <wp:inline distT="0" distB="0" distL="0" distR="0" wp14:anchorId="5ED1C74D" wp14:editId="4977C2C2">
            <wp:extent cx="4724400" cy="2800350"/>
            <wp:effectExtent l="0" t="0" r="0" b="0"/>
            <wp:docPr id="2036544969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3DCE07" w14:textId="77777777" w:rsidR="00BD285D" w:rsidRDefault="00BD285D" w:rsidP="00B86A0E">
      <w:pPr>
        <w:jc w:val="both"/>
        <w:rPr>
          <w:rFonts w:ascii="Noto Sans" w:hAnsi="Noto Sans" w:cs="Noto Sans"/>
          <w:sz w:val="22"/>
          <w:szCs w:val="22"/>
        </w:rPr>
      </w:pPr>
    </w:p>
    <w:p w14:paraId="6CC78499" w14:textId="77777777" w:rsidR="00401EB7" w:rsidRDefault="00D3651D" w:rsidP="00D3651D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Para el ejercicio fiscal 2025</w:t>
      </w:r>
      <w:r w:rsidR="00443138">
        <w:rPr>
          <w:rFonts w:ascii="Noto Sans" w:hAnsi="Noto Sans" w:cs="Noto Sans"/>
          <w:sz w:val="22"/>
          <w:szCs w:val="22"/>
        </w:rPr>
        <w:t>, se recibieron solicitudes de participación</w:t>
      </w:r>
      <w:r w:rsidR="00B62C65">
        <w:rPr>
          <w:rFonts w:ascii="Noto Sans" w:hAnsi="Noto Sans" w:cs="Noto Sans"/>
          <w:sz w:val="22"/>
          <w:szCs w:val="22"/>
        </w:rPr>
        <w:t xml:space="preserve"> p</w:t>
      </w:r>
      <w:r w:rsidR="00C22424" w:rsidRPr="00997309">
        <w:rPr>
          <w:rFonts w:ascii="Noto Sans" w:hAnsi="Noto Sans" w:cs="Noto Sans"/>
          <w:sz w:val="22"/>
          <w:szCs w:val="22"/>
        </w:rPr>
        <w:t xml:space="preserve">ara la convocatoria de </w:t>
      </w:r>
      <w:r w:rsidR="00C22424" w:rsidRPr="00B62C65">
        <w:rPr>
          <w:rFonts w:ascii="Noto Sans" w:hAnsi="Noto Sans" w:cs="Noto Sans"/>
          <w:b/>
          <w:bCs/>
          <w:i/>
          <w:iCs/>
          <w:sz w:val="22"/>
          <w:szCs w:val="22"/>
        </w:rPr>
        <w:t>“Apoyo a Profesores/as de Tiempo Completo con Perfil Deseable”</w:t>
      </w:r>
      <w:r w:rsidR="00C22424" w:rsidRPr="00997309">
        <w:rPr>
          <w:rFonts w:ascii="Noto Sans" w:hAnsi="Noto Sans" w:cs="Noto Sans"/>
          <w:sz w:val="22"/>
          <w:szCs w:val="22"/>
        </w:rPr>
        <w:t xml:space="preserve"> </w:t>
      </w:r>
      <w:r w:rsidR="00C22424">
        <w:rPr>
          <w:rFonts w:ascii="Noto Sans" w:hAnsi="Noto Sans" w:cs="Noto Sans"/>
          <w:sz w:val="22"/>
          <w:szCs w:val="22"/>
        </w:rPr>
        <w:t>de</w:t>
      </w:r>
      <w:r w:rsidRPr="00997309">
        <w:rPr>
          <w:rFonts w:ascii="Noto Sans" w:hAnsi="Noto Sans" w:cs="Noto Sans"/>
          <w:sz w:val="22"/>
          <w:szCs w:val="22"/>
        </w:rPr>
        <w:t xml:space="preserve"> 57 IPES</w:t>
      </w:r>
      <w:r w:rsidR="00401EB7">
        <w:rPr>
          <w:rFonts w:ascii="Noto Sans" w:hAnsi="Noto Sans" w:cs="Noto Sans"/>
          <w:sz w:val="22"/>
          <w:szCs w:val="22"/>
        </w:rPr>
        <w:t>.</w:t>
      </w:r>
    </w:p>
    <w:p w14:paraId="53C17111" w14:textId="4D2E3517" w:rsidR="00401EB7" w:rsidRPr="0023628A" w:rsidRDefault="00401EB7" w:rsidP="00D3651D">
      <w:pPr>
        <w:jc w:val="both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sz w:val="22"/>
          <w:szCs w:val="22"/>
        </w:rPr>
        <w:t>La convocatoria de “</w:t>
      </w:r>
      <w:r w:rsidRPr="00401EB7">
        <w:rPr>
          <w:rFonts w:ascii="Noto Sans" w:hAnsi="Noto Sans" w:cs="Noto Sans"/>
          <w:b/>
          <w:bCs/>
          <w:i/>
          <w:iCs/>
          <w:sz w:val="22"/>
          <w:szCs w:val="22"/>
        </w:rPr>
        <w:t>Consolidación de las Universidades Interculturales</w:t>
      </w:r>
      <w:r>
        <w:rPr>
          <w:rFonts w:ascii="Noto Sans" w:hAnsi="Noto Sans" w:cs="Noto Sans"/>
          <w:b/>
          <w:bCs/>
          <w:i/>
          <w:iCs/>
          <w:sz w:val="22"/>
          <w:szCs w:val="22"/>
        </w:rPr>
        <w:t xml:space="preserve">” </w:t>
      </w:r>
      <w:r w:rsidRPr="0023628A">
        <w:rPr>
          <w:rFonts w:ascii="Noto Sans" w:hAnsi="Noto Sans" w:cs="Noto Sans"/>
          <w:sz w:val="22"/>
          <w:szCs w:val="22"/>
        </w:rPr>
        <w:t>contó</w:t>
      </w:r>
      <w:r w:rsidR="0023628A" w:rsidRPr="0023628A">
        <w:rPr>
          <w:rFonts w:ascii="Noto Sans" w:hAnsi="Noto Sans" w:cs="Noto Sans"/>
          <w:sz w:val="22"/>
          <w:szCs w:val="22"/>
        </w:rPr>
        <w:t xml:space="preserve"> con la participación de 11 </w:t>
      </w:r>
      <w:r w:rsidR="00200CDD">
        <w:rPr>
          <w:rFonts w:ascii="Noto Sans" w:hAnsi="Noto Sans" w:cs="Noto Sans"/>
          <w:sz w:val="22"/>
          <w:szCs w:val="22"/>
        </w:rPr>
        <w:t>IPES.</w:t>
      </w:r>
    </w:p>
    <w:p w14:paraId="6164A7EA" w14:textId="77777777" w:rsidR="00077C4F" w:rsidRPr="00997309" w:rsidRDefault="00077C4F" w:rsidP="00182C98">
      <w:pPr>
        <w:jc w:val="both"/>
        <w:rPr>
          <w:rFonts w:ascii="Noto Sans" w:hAnsi="Noto Sans" w:cs="Noto Sans"/>
          <w:sz w:val="22"/>
          <w:szCs w:val="22"/>
        </w:rPr>
      </w:pPr>
    </w:p>
    <w:p w14:paraId="54196AD2" w14:textId="2956C209" w:rsidR="00D2637E" w:rsidRPr="00892143" w:rsidRDefault="00D2637E" w:rsidP="00D2637E">
      <w:pPr>
        <w:pStyle w:val="Ttulo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Actividades de Contraloría Social desarrolladas</w:t>
      </w:r>
    </w:p>
    <w:p w14:paraId="3B09F1F4" w14:textId="6F05DC5F" w:rsidR="007D282C" w:rsidRDefault="00DB547F" w:rsidP="00D66EF3"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Las actividades desarrolladas por las IPES</w:t>
      </w:r>
      <w:r w:rsidR="001F7E7C">
        <w:rPr>
          <w:rFonts w:ascii="Noto Sans" w:hAnsi="Noto Sans" w:cs="Noto Sans"/>
          <w:sz w:val="22"/>
          <w:szCs w:val="22"/>
        </w:rPr>
        <w:t xml:space="preserve">, en el marco de la Contraloría Social del PRODEP 2025, se encontraban definidas </w:t>
      </w:r>
      <w:r w:rsidR="005A3068">
        <w:rPr>
          <w:rFonts w:ascii="Noto Sans" w:hAnsi="Noto Sans" w:cs="Noto Sans"/>
          <w:sz w:val="22"/>
          <w:szCs w:val="22"/>
        </w:rPr>
        <w:t>la</w:t>
      </w:r>
      <w:r w:rsidR="00F56DA6">
        <w:rPr>
          <w:rFonts w:ascii="Noto Sans" w:hAnsi="Noto Sans" w:cs="Noto Sans"/>
          <w:sz w:val="22"/>
          <w:szCs w:val="22"/>
        </w:rPr>
        <w:t xml:space="preserve"> Guia Operativa</w:t>
      </w:r>
      <w:r w:rsidR="00D66EF3">
        <w:rPr>
          <w:rFonts w:ascii="Noto Sans" w:hAnsi="Noto Sans" w:cs="Noto Sans"/>
          <w:sz w:val="22"/>
          <w:szCs w:val="22"/>
        </w:rPr>
        <w:t xml:space="preserve"> y</w:t>
      </w:r>
      <w:r w:rsidR="0038099E">
        <w:rPr>
          <w:rFonts w:ascii="Noto Sans" w:hAnsi="Noto Sans" w:cs="Noto Sans"/>
          <w:sz w:val="22"/>
          <w:szCs w:val="22"/>
        </w:rPr>
        <w:t xml:space="preserve"> fueron las siguientes:</w:t>
      </w:r>
    </w:p>
    <w:p w14:paraId="00213925" w14:textId="1CE3909D" w:rsidR="0038099E" w:rsidRDefault="00B9726B" w:rsidP="0044457E">
      <w:pPr>
        <w:pStyle w:val="Prrafodelista"/>
        <w:numPr>
          <w:ilvl w:val="0"/>
          <w:numId w:val="9"/>
        </w:numPr>
        <w:jc w:val="both"/>
        <w:rPr>
          <w:rFonts w:ascii="Noto Sans" w:hAnsi="Noto Sans" w:cs="Noto Sans"/>
          <w:sz w:val="22"/>
          <w:szCs w:val="22"/>
        </w:rPr>
      </w:pPr>
      <w:r w:rsidRPr="0044457E">
        <w:rPr>
          <w:rFonts w:ascii="Noto Sans" w:hAnsi="Noto Sans" w:cs="Noto Sans"/>
          <w:sz w:val="22"/>
          <w:szCs w:val="22"/>
        </w:rPr>
        <w:t xml:space="preserve">Envío del Nombramiento del </w:t>
      </w:r>
      <w:r w:rsidR="00B364FB" w:rsidRPr="0044457E">
        <w:rPr>
          <w:rFonts w:ascii="Noto Sans" w:hAnsi="Noto Sans" w:cs="Noto Sans"/>
          <w:sz w:val="22"/>
          <w:szCs w:val="22"/>
        </w:rPr>
        <w:t>responsable</w:t>
      </w:r>
      <w:r w:rsidRPr="0044457E">
        <w:rPr>
          <w:rFonts w:ascii="Noto Sans" w:hAnsi="Noto Sans" w:cs="Noto Sans"/>
          <w:sz w:val="22"/>
          <w:szCs w:val="22"/>
        </w:rPr>
        <w:t xml:space="preserve"> de Contraloría Social (</w:t>
      </w:r>
      <w:r w:rsidR="00B364FB" w:rsidRPr="0044457E">
        <w:rPr>
          <w:rFonts w:ascii="Noto Sans" w:hAnsi="Noto Sans" w:cs="Noto Sans"/>
          <w:sz w:val="22"/>
          <w:szCs w:val="22"/>
        </w:rPr>
        <w:t>RCS)</w:t>
      </w:r>
      <w:r w:rsidR="00B364FB">
        <w:rPr>
          <w:rFonts w:ascii="Noto Sans" w:hAnsi="Noto Sans" w:cs="Noto Sans"/>
          <w:sz w:val="22"/>
          <w:szCs w:val="22"/>
        </w:rPr>
        <w:t xml:space="preserve"> </w:t>
      </w:r>
      <w:r w:rsidR="0038026F" w:rsidRPr="0044457E">
        <w:rPr>
          <w:rFonts w:ascii="Noto Sans" w:hAnsi="Noto Sans" w:cs="Noto Sans"/>
          <w:sz w:val="22"/>
          <w:szCs w:val="22"/>
        </w:rPr>
        <w:t xml:space="preserve">y los datos de </w:t>
      </w:r>
      <w:r w:rsidR="0044457E" w:rsidRPr="0044457E">
        <w:rPr>
          <w:rFonts w:ascii="Noto Sans" w:hAnsi="Noto Sans" w:cs="Noto Sans"/>
          <w:sz w:val="22"/>
          <w:szCs w:val="22"/>
        </w:rPr>
        <w:t>contacto correspondientes.</w:t>
      </w:r>
    </w:p>
    <w:p w14:paraId="5146DD53" w14:textId="4C6AD24C" w:rsidR="00B364FB" w:rsidRDefault="00B364FB" w:rsidP="0044457E">
      <w:pPr>
        <w:pStyle w:val="Prrafodelista"/>
        <w:numPr>
          <w:ilvl w:val="0"/>
          <w:numId w:val="9"/>
        </w:numPr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Publicación de los documentos normativos conforme los criterios establecidos en la Guía Operativa 2025.</w:t>
      </w:r>
    </w:p>
    <w:p w14:paraId="3C7403A9" w14:textId="638BED37" w:rsidR="00836D00" w:rsidRPr="001D2F6A" w:rsidRDefault="00836D00" w:rsidP="00836D00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El registro de actividades</w:t>
      </w:r>
      <w:r>
        <w:rPr>
          <w:rFonts w:ascii="Noto Sans" w:hAnsi="Noto Sans" w:cs="Noto Sans"/>
          <w:noProof/>
          <w:sz w:val="22"/>
          <w:szCs w:val="22"/>
        </w:rPr>
        <w:t xml:space="preserve"> </w:t>
      </w:r>
      <w:r w:rsidR="002D598D">
        <w:rPr>
          <w:rFonts w:ascii="Noto Sans" w:hAnsi="Noto Sans" w:cs="Noto Sans"/>
          <w:noProof/>
          <w:sz w:val="22"/>
          <w:szCs w:val="22"/>
        </w:rPr>
        <w:t xml:space="preserve">en </w:t>
      </w:r>
      <w:r w:rsidR="002D598D" w:rsidRPr="001D2F6A">
        <w:rPr>
          <w:rFonts w:ascii="Noto Sans" w:hAnsi="Noto Sans" w:cs="Noto Sans"/>
          <w:noProof/>
          <w:sz w:val="22"/>
          <w:szCs w:val="22"/>
        </w:rPr>
        <w:t>Sistema Informático de Contraloría Social (SICS)</w:t>
      </w:r>
      <w:r w:rsidR="000A2899">
        <w:rPr>
          <w:rFonts w:ascii="Noto Sans" w:hAnsi="Noto Sans" w:cs="Noto Sans"/>
          <w:noProof/>
          <w:sz w:val="22"/>
          <w:szCs w:val="22"/>
        </w:rPr>
        <w:t>, en</w:t>
      </w:r>
      <w:r w:rsidRPr="001D2F6A">
        <w:rPr>
          <w:rFonts w:ascii="Noto Sans" w:hAnsi="Noto Sans" w:cs="Noto Sans"/>
          <w:noProof/>
          <w:sz w:val="22"/>
          <w:szCs w:val="22"/>
        </w:rPr>
        <w:t xml:space="preserve"> los apartados </w:t>
      </w:r>
      <w:r w:rsidR="000A2899">
        <w:rPr>
          <w:rFonts w:ascii="Noto Sans" w:hAnsi="Noto Sans" w:cs="Noto Sans"/>
          <w:noProof/>
          <w:sz w:val="22"/>
          <w:szCs w:val="22"/>
        </w:rPr>
        <w:t>correspondientes a:</w:t>
      </w:r>
    </w:p>
    <w:p w14:paraId="49BD49A1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PITCS,</w:t>
      </w:r>
    </w:p>
    <w:p w14:paraId="7DBE7A27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Material de Difusión,</w:t>
      </w:r>
    </w:p>
    <w:p w14:paraId="0F61341D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Material de Capacitación,</w:t>
      </w:r>
    </w:p>
    <w:p w14:paraId="1F18FF73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Capacitaciones,</w:t>
      </w:r>
    </w:p>
    <w:p w14:paraId="1D0C9A1F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Apoyos,</w:t>
      </w:r>
    </w:p>
    <w:p w14:paraId="07816BB6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Comité,</w:t>
      </w:r>
    </w:p>
    <w:p w14:paraId="0B0DCD6F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Reuniones, e</w:t>
      </w:r>
      <w:r w:rsidRPr="001D2F6A">
        <w:rPr>
          <w:rFonts w:ascii="Noto Sans" w:hAnsi="Noto Sans" w:cs="Noto Sans"/>
          <w:sz w:val="22"/>
          <w:szCs w:val="22"/>
        </w:rPr>
        <w:t xml:space="preserve"> </w:t>
      </w:r>
    </w:p>
    <w:p w14:paraId="2B8EC429" w14:textId="77777777" w:rsidR="00836D00" w:rsidRPr="001D2F6A" w:rsidRDefault="00836D00" w:rsidP="00836D00">
      <w:pPr>
        <w:pStyle w:val="Prrafodelista"/>
        <w:numPr>
          <w:ilvl w:val="1"/>
          <w:numId w:val="9"/>
        </w:numPr>
        <w:spacing w:after="0" w:line="276" w:lineRule="auto"/>
        <w:jc w:val="both"/>
        <w:rPr>
          <w:rFonts w:ascii="Noto Sans" w:hAnsi="Noto Sans" w:cs="Noto Sans"/>
          <w:sz w:val="22"/>
          <w:szCs w:val="22"/>
        </w:rPr>
      </w:pPr>
      <w:r w:rsidRPr="1093CE43">
        <w:rPr>
          <w:rFonts w:ascii="Noto Sans" w:hAnsi="Noto Sans" w:cs="Noto Sans"/>
          <w:noProof/>
          <w:sz w:val="22"/>
          <w:szCs w:val="22"/>
        </w:rPr>
        <w:t>Informe del Comité.</w:t>
      </w:r>
    </w:p>
    <w:p w14:paraId="74BAC712" w14:textId="5102E0F2" w:rsidR="00836D00" w:rsidRPr="0044457E" w:rsidRDefault="008C3C2B" w:rsidP="0044457E">
      <w:pPr>
        <w:pStyle w:val="Prrafodelista"/>
        <w:numPr>
          <w:ilvl w:val="0"/>
          <w:numId w:val="9"/>
        </w:numPr>
        <w:jc w:val="both"/>
        <w:rPr>
          <w:rFonts w:ascii="Noto Sans" w:hAnsi="Noto Sans" w:cs="Noto Sans"/>
          <w:sz w:val="22"/>
          <w:szCs w:val="22"/>
        </w:rPr>
      </w:pPr>
      <w:r w:rsidRPr="001D2F6A">
        <w:rPr>
          <w:rFonts w:ascii="Noto Sans" w:hAnsi="Noto Sans" w:cs="Noto Sans"/>
          <w:noProof/>
          <w:sz w:val="22"/>
          <w:szCs w:val="22"/>
        </w:rPr>
        <w:t>Envío</w:t>
      </w:r>
      <w:r>
        <w:rPr>
          <w:rFonts w:ascii="Noto Sans" w:hAnsi="Noto Sans" w:cs="Noto Sans"/>
          <w:noProof/>
          <w:sz w:val="22"/>
          <w:szCs w:val="22"/>
        </w:rPr>
        <w:t>,</w:t>
      </w:r>
      <w:r w:rsidRPr="001D2F6A">
        <w:rPr>
          <w:rFonts w:ascii="Noto Sans" w:hAnsi="Noto Sans" w:cs="Noto Sans"/>
          <w:noProof/>
          <w:sz w:val="22"/>
          <w:szCs w:val="22"/>
        </w:rPr>
        <w:t xml:space="preserve"> </w:t>
      </w:r>
      <w:r>
        <w:rPr>
          <w:rFonts w:ascii="Noto Sans" w:hAnsi="Noto Sans" w:cs="Noto Sans"/>
          <w:noProof/>
          <w:sz w:val="22"/>
          <w:szCs w:val="22"/>
        </w:rPr>
        <w:t xml:space="preserve">vía correo electronico, </w:t>
      </w:r>
      <w:r w:rsidRPr="001D2F6A">
        <w:rPr>
          <w:rFonts w:ascii="Noto Sans" w:hAnsi="Noto Sans" w:cs="Noto Sans"/>
          <w:noProof/>
          <w:sz w:val="22"/>
          <w:szCs w:val="22"/>
        </w:rPr>
        <w:t>del Informe Final de las actividades de la Contraloría Social realizadas durante el ejercicio fiscal</w:t>
      </w:r>
      <w:r>
        <w:rPr>
          <w:rFonts w:ascii="Noto Sans" w:hAnsi="Noto Sans" w:cs="Noto Sans"/>
          <w:noProof/>
          <w:sz w:val="22"/>
          <w:szCs w:val="22"/>
        </w:rPr>
        <w:t>,en el cual se debía</w:t>
      </w:r>
      <w:r w:rsidR="00037133">
        <w:rPr>
          <w:rFonts w:ascii="Noto Sans" w:hAnsi="Noto Sans" w:cs="Noto Sans"/>
          <w:noProof/>
          <w:sz w:val="22"/>
          <w:szCs w:val="22"/>
        </w:rPr>
        <w:t xml:space="preserve"> indicar </w:t>
      </w:r>
      <w:r>
        <w:rPr>
          <w:rFonts w:ascii="Noto Sans" w:hAnsi="Noto Sans" w:cs="Noto Sans"/>
          <w:noProof/>
          <w:sz w:val="22"/>
          <w:szCs w:val="22"/>
        </w:rPr>
        <w:t xml:space="preserve">  si se presentaron quejas o denuncias en el marco del Programa.</w:t>
      </w:r>
    </w:p>
    <w:p w14:paraId="40EF6017" w14:textId="481491B6" w:rsidR="000C4C73" w:rsidRPr="00997309" w:rsidRDefault="000C4C73" w:rsidP="000C4C73">
      <w:pPr>
        <w:jc w:val="both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sz w:val="22"/>
          <w:szCs w:val="22"/>
        </w:rPr>
        <w:t xml:space="preserve">En lo que respecta a la participación en las actividades de Contraloría Social, se observa </w:t>
      </w:r>
      <w:r w:rsidR="00AF55EC">
        <w:rPr>
          <w:rFonts w:ascii="Noto Sans" w:hAnsi="Noto Sans" w:cs="Noto Sans"/>
          <w:sz w:val="22"/>
          <w:szCs w:val="22"/>
        </w:rPr>
        <w:t>que,</w:t>
      </w:r>
      <w:r w:rsidR="007A36DA">
        <w:rPr>
          <w:rFonts w:ascii="Noto Sans" w:hAnsi="Noto Sans" w:cs="Noto Sans"/>
          <w:sz w:val="22"/>
          <w:szCs w:val="22"/>
        </w:rPr>
        <w:t xml:space="preserve"> </w:t>
      </w:r>
      <w:r w:rsidR="00823469">
        <w:rPr>
          <w:rFonts w:ascii="Noto Sans" w:hAnsi="Noto Sans" w:cs="Noto Sans"/>
          <w:sz w:val="22"/>
          <w:szCs w:val="22"/>
        </w:rPr>
        <w:t>del</w:t>
      </w:r>
      <w:r w:rsidRPr="00997309">
        <w:rPr>
          <w:rFonts w:ascii="Noto Sans" w:hAnsi="Noto Sans" w:cs="Noto Sans"/>
          <w:sz w:val="22"/>
          <w:szCs w:val="22"/>
        </w:rPr>
        <w:t xml:space="preserve"> total de la PB 58 IPES cumplieron al 100% con las actividades establecidas, lo </w:t>
      </w:r>
      <w:r w:rsidR="000671EF">
        <w:rPr>
          <w:rFonts w:ascii="Noto Sans" w:hAnsi="Noto Sans" w:cs="Noto Sans"/>
          <w:sz w:val="22"/>
          <w:szCs w:val="22"/>
        </w:rPr>
        <w:t>anterior equivale a</w:t>
      </w:r>
      <w:r w:rsidRPr="00997309">
        <w:rPr>
          <w:rFonts w:ascii="Noto Sans" w:hAnsi="Noto Sans" w:cs="Noto Sans"/>
          <w:sz w:val="22"/>
          <w:szCs w:val="22"/>
        </w:rPr>
        <w:t>l 95%. Este cumplimiento se evaluó con base en la correcta publicación de los documentos normativos, conforme a los criterios establecidos en la Guía Operativa 2025, así como en el registro oportuno y completo de las actividades en el Sistema Informático de Contraloría Social (SICS). Este alto nivel de cumplimiento refleja no solo el apego a la normatividad vigente, sino también una adecuada capacidad operativa y organizativa por parte de las instituciones.</w:t>
      </w:r>
    </w:p>
    <w:p w14:paraId="00BFAD46" w14:textId="5847C101" w:rsidR="000C4C73" w:rsidRDefault="000C4C73" w:rsidP="000C4C73">
      <w:pPr>
        <w:jc w:val="both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sz w:val="22"/>
          <w:szCs w:val="22"/>
        </w:rPr>
        <w:t>Por otro lado, el 5% de la población beneficiaria</w:t>
      </w:r>
      <w:r w:rsidR="004638BF">
        <w:rPr>
          <w:rFonts w:ascii="Noto Sans" w:hAnsi="Noto Sans" w:cs="Noto Sans"/>
          <w:sz w:val="22"/>
          <w:szCs w:val="22"/>
        </w:rPr>
        <w:t xml:space="preserve"> (</w:t>
      </w:r>
      <w:r w:rsidR="004638BF" w:rsidRPr="00997309">
        <w:rPr>
          <w:rFonts w:ascii="Noto Sans" w:hAnsi="Noto Sans" w:cs="Noto Sans"/>
          <w:sz w:val="22"/>
          <w:szCs w:val="22"/>
        </w:rPr>
        <w:t>3 IPES</w:t>
      </w:r>
      <w:r w:rsidR="00953593">
        <w:rPr>
          <w:rFonts w:ascii="Noto Sans" w:hAnsi="Noto Sans" w:cs="Noto Sans"/>
          <w:sz w:val="22"/>
          <w:szCs w:val="22"/>
        </w:rPr>
        <w:t>)</w:t>
      </w:r>
      <w:r w:rsidR="00953593" w:rsidRPr="00997309">
        <w:rPr>
          <w:rFonts w:ascii="Noto Sans" w:hAnsi="Noto Sans" w:cs="Noto Sans"/>
          <w:sz w:val="22"/>
          <w:szCs w:val="22"/>
        </w:rPr>
        <w:t xml:space="preserve">, </w:t>
      </w:r>
      <w:r w:rsidR="00953593">
        <w:rPr>
          <w:rFonts w:ascii="Noto Sans" w:hAnsi="Noto Sans" w:cs="Noto Sans"/>
          <w:sz w:val="22"/>
          <w:szCs w:val="22"/>
        </w:rPr>
        <w:t>presentaron</w:t>
      </w:r>
      <w:r w:rsidR="00260D07">
        <w:rPr>
          <w:rFonts w:ascii="Noto Sans" w:hAnsi="Noto Sans" w:cs="Noto Sans"/>
          <w:sz w:val="22"/>
          <w:szCs w:val="22"/>
        </w:rPr>
        <w:t xml:space="preserve"> algún incumplimiento en el desarrollo de las</w:t>
      </w:r>
      <w:r w:rsidRPr="00997309">
        <w:rPr>
          <w:rFonts w:ascii="Noto Sans" w:hAnsi="Noto Sans" w:cs="Noto Sans"/>
          <w:sz w:val="22"/>
          <w:szCs w:val="22"/>
        </w:rPr>
        <w:t xml:space="preserve"> actividades de Contraloría Social</w:t>
      </w:r>
      <w:r w:rsidR="000075DA">
        <w:rPr>
          <w:rFonts w:ascii="Noto Sans" w:hAnsi="Noto Sans" w:cs="Noto Sans"/>
          <w:sz w:val="22"/>
          <w:szCs w:val="22"/>
        </w:rPr>
        <w:t xml:space="preserve"> establecidas en </w:t>
      </w:r>
      <w:r w:rsidR="00260D07">
        <w:rPr>
          <w:rFonts w:ascii="Noto Sans" w:hAnsi="Noto Sans" w:cs="Noto Sans"/>
          <w:sz w:val="22"/>
          <w:szCs w:val="22"/>
        </w:rPr>
        <w:t>el Programa Anual de Trabajo de la Contraloría Social (PATCS)</w:t>
      </w:r>
      <w:r w:rsidRPr="00997309">
        <w:rPr>
          <w:rFonts w:ascii="Noto Sans" w:hAnsi="Noto Sans" w:cs="Noto Sans"/>
          <w:sz w:val="22"/>
          <w:szCs w:val="22"/>
        </w:rPr>
        <w:t>. Aunque este porcentaje es reducido</w:t>
      </w:r>
      <w:r w:rsidR="00806B3B">
        <w:rPr>
          <w:rFonts w:ascii="Noto Sans" w:hAnsi="Noto Sans" w:cs="Noto Sans"/>
          <w:sz w:val="22"/>
          <w:szCs w:val="22"/>
        </w:rPr>
        <w:t xml:space="preserve"> es importante detectar aquellas áreas de </w:t>
      </w:r>
      <w:r w:rsidR="006D1614">
        <w:rPr>
          <w:rFonts w:ascii="Noto Sans" w:hAnsi="Noto Sans" w:cs="Noto Sans"/>
          <w:sz w:val="22"/>
          <w:szCs w:val="22"/>
        </w:rPr>
        <w:t>oportunidad donde se pueda fortalecer los mecanismos de seguimiento</w:t>
      </w:r>
      <w:r w:rsidR="00D860A8">
        <w:rPr>
          <w:rFonts w:ascii="Noto Sans" w:hAnsi="Noto Sans" w:cs="Noto Sans"/>
          <w:sz w:val="22"/>
          <w:szCs w:val="22"/>
        </w:rPr>
        <w:t xml:space="preserve"> </w:t>
      </w:r>
      <w:r w:rsidR="00DF1BA5">
        <w:rPr>
          <w:rFonts w:ascii="Noto Sans" w:hAnsi="Noto Sans" w:cs="Noto Sans"/>
          <w:sz w:val="22"/>
          <w:szCs w:val="22"/>
        </w:rPr>
        <w:t>afín</w:t>
      </w:r>
      <w:r w:rsidR="00D860A8">
        <w:rPr>
          <w:rFonts w:ascii="Noto Sans" w:hAnsi="Noto Sans" w:cs="Noto Sans"/>
          <w:sz w:val="22"/>
          <w:szCs w:val="22"/>
        </w:rPr>
        <w:t xml:space="preserve"> de poder, en la medida de lo </w:t>
      </w:r>
      <w:r w:rsidR="00DF1BA5">
        <w:rPr>
          <w:rFonts w:ascii="Noto Sans" w:hAnsi="Noto Sans" w:cs="Noto Sans"/>
          <w:sz w:val="22"/>
          <w:szCs w:val="22"/>
        </w:rPr>
        <w:t>posible</w:t>
      </w:r>
      <w:r w:rsidR="00D860A8">
        <w:rPr>
          <w:rFonts w:ascii="Noto Sans" w:hAnsi="Noto Sans" w:cs="Noto Sans"/>
          <w:sz w:val="22"/>
          <w:szCs w:val="22"/>
        </w:rPr>
        <w:t>, corregir esta situación</w:t>
      </w:r>
      <w:r w:rsidR="00DF1BA5">
        <w:rPr>
          <w:rFonts w:ascii="Noto Sans" w:hAnsi="Noto Sans" w:cs="Noto Sans"/>
          <w:sz w:val="22"/>
          <w:szCs w:val="22"/>
        </w:rPr>
        <w:t>.</w:t>
      </w:r>
    </w:p>
    <w:p w14:paraId="2BA9F716" w14:textId="77777777" w:rsidR="00077C4F" w:rsidRDefault="00077C4F" w:rsidP="000C4C73">
      <w:pPr>
        <w:jc w:val="both"/>
        <w:rPr>
          <w:rFonts w:ascii="Noto Sans" w:hAnsi="Noto Sans" w:cs="Noto Sans"/>
          <w:sz w:val="22"/>
          <w:szCs w:val="22"/>
        </w:rPr>
      </w:pPr>
    </w:p>
    <w:p w14:paraId="136960C7" w14:textId="77777777" w:rsidR="009170C8" w:rsidRPr="00997309" w:rsidRDefault="009170C8" w:rsidP="000C4C73">
      <w:pPr>
        <w:jc w:val="both"/>
        <w:rPr>
          <w:rFonts w:ascii="Noto Sans" w:hAnsi="Noto Sans" w:cs="Noto Sans"/>
          <w:sz w:val="22"/>
          <w:szCs w:val="22"/>
        </w:rPr>
      </w:pPr>
    </w:p>
    <w:p w14:paraId="2CAA3042" w14:textId="5761F1F3" w:rsidR="00BC4433" w:rsidRPr="00997309" w:rsidRDefault="004304EA" w:rsidP="00461F6C">
      <w:pPr>
        <w:jc w:val="center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noProof/>
          <w:sz w:val="22"/>
          <w:szCs w:val="22"/>
        </w:rPr>
        <w:drawing>
          <wp:inline distT="0" distB="0" distL="0" distR="0" wp14:anchorId="638BE38C" wp14:editId="739A8BFC">
            <wp:extent cx="5086350" cy="3781425"/>
            <wp:effectExtent l="0" t="0" r="0" b="0"/>
            <wp:docPr id="135559561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11EDD6" w14:textId="77777777" w:rsidR="00ED5F1A" w:rsidRDefault="00ED5F1A" w:rsidP="00191292">
      <w:pPr>
        <w:jc w:val="both"/>
        <w:rPr>
          <w:rFonts w:ascii="Noto Sans" w:hAnsi="Noto Sans" w:cs="Noto Sans"/>
          <w:b/>
          <w:bCs/>
          <w:sz w:val="22"/>
          <w:szCs w:val="22"/>
        </w:rPr>
      </w:pPr>
    </w:p>
    <w:p w14:paraId="6A7A1A52" w14:textId="77777777" w:rsidR="009170C8" w:rsidRDefault="009170C8" w:rsidP="00191292">
      <w:pPr>
        <w:jc w:val="both"/>
        <w:rPr>
          <w:rFonts w:ascii="Noto Sans" w:hAnsi="Noto Sans" w:cs="Noto Sans"/>
          <w:b/>
          <w:bCs/>
          <w:sz w:val="22"/>
          <w:szCs w:val="22"/>
        </w:rPr>
      </w:pPr>
    </w:p>
    <w:p w14:paraId="29B6724A" w14:textId="77777777" w:rsidR="008B4804" w:rsidRPr="00DE1C9A" w:rsidRDefault="008B4804" w:rsidP="00DE1C9A">
      <w:pPr>
        <w:pStyle w:val="Ttulo1"/>
        <w:rPr>
          <w:b/>
          <w:bCs/>
          <w:sz w:val="36"/>
          <w:szCs w:val="36"/>
        </w:rPr>
      </w:pPr>
      <w:r w:rsidRPr="00DE1C9A">
        <w:rPr>
          <w:b/>
          <w:bCs/>
          <w:sz w:val="36"/>
          <w:szCs w:val="36"/>
        </w:rPr>
        <w:t>Quejas y denuncias</w:t>
      </w:r>
    </w:p>
    <w:p w14:paraId="2E9570C7" w14:textId="47F493A8" w:rsidR="00ED5F1A" w:rsidRPr="0061455D" w:rsidRDefault="00ED5F1A" w:rsidP="00ED5F1A">
      <w:pPr>
        <w:ind w:left="-5"/>
        <w:jc w:val="both"/>
        <w:rPr>
          <w:rFonts w:ascii="Noto Sans" w:hAnsi="Noto Sans" w:cs="Noto Sans"/>
          <w:sz w:val="22"/>
          <w:szCs w:val="22"/>
        </w:rPr>
      </w:pPr>
      <w:r w:rsidRPr="0061455D">
        <w:rPr>
          <w:rFonts w:ascii="Noto Sans" w:hAnsi="Noto Sans" w:cs="Noto Sans"/>
          <w:sz w:val="22"/>
          <w:szCs w:val="22"/>
        </w:rPr>
        <w:t xml:space="preserve">De conformidad con los informes finales reportados por parte de 59 </w:t>
      </w:r>
      <w:r w:rsidR="00411EB1">
        <w:rPr>
          <w:rFonts w:ascii="Noto Sans" w:hAnsi="Noto Sans" w:cs="Noto Sans"/>
          <w:sz w:val="22"/>
          <w:szCs w:val="22"/>
        </w:rPr>
        <w:t xml:space="preserve">de las </w:t>
      </w:r>
      <w:r w:rsidRPr="0061455D">
        <w:rPr>
          <w:rFonts w:ascii="Noto Sans" w:hAnsi="Noto Sans" w:cs="Noto Sans"/>
          <w:sz w:val="22"/>
          <w:szCs w:val="22"/>
        </w:rPr>
        <w:t>IPES beneficiarias, durante el ejercicio fiscal 2025, no se recibieron quejas o denuncias en el marco de</w:t>
      </w:r>
      <w:r w:rsidR="002C5836">
        <w:rPr>
          <w:rFonts w:ascii="Noto Sans" w:hAnsi="Noto Sans" w:cs="Noto Sans"/>
          <w:sz w:val="22"/>
          <w:szCs w:val="22"/>
        </w:rPr>
        <w:t xml:space="preserve"> </w:t>
      </w:r>
      <w:r w:rsidRPr="0061455D">
        <w:rPr>
          <w:rFonts w:ascii="Noto Sans" w:hAnsi="Noto Sans" w:cs="Noto Sans"/>
          <w:sz w:val="22"/>
          <w:szCs w:val="22"/>
        </w:rPr>
        <w:t>l</w:t>
      </w:r>
      <w:r w:rsidR="002C5836">
        <w:rPr>
          <w:rFonts w:ascii="Noto Sans" w:hAnsi="Noto Sans" w:cs="Noto Sans"/>
          <w:sz w:val="22"/>
          <w:szCs w:val="22"/>
        </w:rPr>
        <w:t>a contraloría social del</w:t>
      </w:r>
      <w:r w:rsidRPr="0061455D">
        <w:rPr>
          <w:rFonts w:ascii="Noto Sans" w:hAnsi="Noto Sans" w:cs="Noto Sans"/>
          <w:sz w:val="22"/>
          <w:szCs w:val="22"/>
        </w:rPr>
        <w:t xml:space="preserve"> PRODEP, lo que indica un adecuado cumplimiento de los lineamientos y procesos establecidos por la normativa vigente del programa, reflejando un entorno de transparencia, correcta aplicación de los recursos públicos, así como una adecuada comunicación y coordinación entre las instituciones beneficiarias y las instancias responsables del </w:t>
      </w:r>
      <w:r w:rsidR="00503F4F" w:rsidRPr="0061455D">
        <w:rPr>
          <w:rFonts w:ascii="Noto Sans" w:hAnsi="Noto Sans" w:cs="Noto Sans"/>
          <w:sz w:val="22"/>
          <w:szCs w:val="22"/>
        </w:rPr>
        <w:t>Programa</w:t>
      </w:r>
      <w:r w:rsidRPr="0061455D">
        <w:rPr>
          <w:rFonts w:ascii="Noto Sans" w:hAnsi="Noto Sans" w:cs="Noto Sans"/>
          <w:sz w:val="22"/>
          <w:szCs w:val="22"/>
        </w:rPr>
        <w:t xml:space="preserve">. </w:t>
      </w:r>
    </w:p>
    <w:p w14:paraId="361448E0" w14:textId="7126C083" w:rsidR="00ED5F1A" w:rsidRPr="0061455D" w:rsidRDefault="00ED5F1A" w:rsidP="003179E3">
      <w:pPr>
        <w:jc w:val="both"/>
      </w:pPr>
      <w:r w:rsidRPr="0061455D">
        <w:rPr>
          <w:rFonts w:ascii="Noto Sans" w:hAnsi="Noto Sans" w:cs="Noto Sans"/>
          <w:sz w:val="22"/>
          <w:szCs w:val="22"/>
        </w:rPr>
        <w:t xml:space="preserve">No obstante, es importante continuar promoviendo canales accesibles de atención, difusión de mecanismos de denuncia y cultura de la legalidad, con el fin de garantizar que, en caso de presentarse alguna eventualidad, ésta pueda ser reportada y atendida de manera oportuna, contribuyendo así a la mejora continua del </w:t>
      </w:r>
      <w:r w:rsidR="009170C8" w:rsidRPr="0061455D">
        <w:rPr>
          <w:rFonts w:ascii="Noto Sans" w:hAnsi="Noto Sans" w:cs="Noto Sans"/>
          <w:sz w:val="22"/>
          <w:szCs w:val="22"/>
        </w:rPr>
        <w:t>Programa</w:t>
      </w:r>
      <w:r w:rsidRPr="0061455D">
        <w:rPr>
          <w:rFonts w:ascii="Noto Sans" w:hAnsi="Noto Sans" w:cs="Noto Sans"/>
          <w:sz w:val="22"/>
          <w:szCs w:val="22"/>
        </w:rPr>
        <w:t>.</w:t>
      </w:r>
    </w:p>
    <w:p w14:paraId="37A93751" w14:textId="38D655F6" w:rsidR="002F414D" w:rsidRDefault="002F414D" w:rsidP="003179E3">
      <w:pPr>
        <w:jc w:val="both"/>
        <w:rPr>
          <w:rFonts w:ascii="Noto Sans" w:hAnsi="Noto Sans" w:cs="Noto Sans"/>
          <w:color w:val="EE0000"/>
          <w:sz w:val="22"/>
          <w:szCs w:val="22"/>
        </w:rPr>
      </w:pPr>
    </w:p>
    <w:p w14:paraId="3BE7E4FE" w14:textId="6FC11F00" w:rsidR="1093CE43" w:rsidRPr="00DE1C9A" w:rsidRDefault="0052603B" w:rsidP="003179E3">
      <w:pPr>
        <w:pStyle w:val="Ttulo1"/>
        <w:jc w:val="both"/>
        <w:rPr>
          <w:b/>
          <w:bCs/>
          <w:sz w:val="36"/>
          <w:szCs w:val="36"/>
        </w:rPr>
      </w:pPr>
      <w:r w:rsidRPr="00DE1C9A">
        <w:rPr>
          <w:b/>
          <w:bCs/>
          <w:sz w:val="36"/>
          <w:szCs w:val="36"/>
        </w:rPr>
        <w:lastRenderedPageBreak/>
        <w:t>Conclusión</w:t>
      </w:r>
    </w:p>
    <w:p w14:paraId="1E498B43" w14:textId="02F5C08A" w:rsidR="0052603B" w:rsidRPr="004B71F3" w:rsidRDefault="0061455D" w:rsidP="003179E3">
      <w:pPr>
        <w:jc w:val="both"/>
        <w:rPr>
          <w:rFonts w:ascii="Noto Sans" w:hAnsi="Noto Sans" w:cs="Noto Sans"/>
          <w:sz w:val="22"/>
          <w:szCs w:val="22"/>
        </w:rPr>
      </w:pPr>
      <w:r w:rsidRPr="004B71F3">
        <w:rPr>
          <w:rFonts w:ascii="Noto Sans" w:hAnsi="Noto Sans" w:cs="Noto Sans"/>
          <w:sz w:val="22"/>
          <w:szCs w:val="22"/>
        </w:rPr>
        <w:t>L</w:t>
      </w:r>
      <w:r w:rsidR="006C28BA" w:rsidRPr="004B71F3">
        <w:rPr>
          <w:rFonts w:ascii="Noto Sans" w:hAnsi="Noto Sans" w:cs="Noto Sans"/>
          <w:sz w:val="22"/>
          <w:szCs w:val="22"/>
        </w:rPr>
        <w:t xml:space="preserve">os resultados obtenidos durante 2025 </w:t>
      </w:r>
      <w:r w:rsidRPr="004B71F3">
        <w:rPr>
          <w:rFonts w:ascii="Noto Sans" w:hAnsi="Noto Sans" w:cs="Noto Sans"/>
          <w:sz w:val="22"/>
          <w:szCs w:val="22"/>
        </w:rPr>
        <w:t xml:space="preserve">nos indican </w:t>
      </w:r>
      <w:r w:rsidR="006C28BA" w:rsidRPr="004B71F3">
        <w:rPr>
          <w:rFonts w:ascii="Noto Sans" w:hAnsi="Noto Sans" w:cs="Noto Sans"/>
          <w:sz w:val="22"/>
          <w:szCs w:val="22"/>
        </w:rPr>
        <w:t xml:space="preserve">que existe un alto grado de participación y cumplimiento por parte de las IPES beneficiarias, consolidando así la implementación de la Contraloría Social como una herramienta efectiva para garantizar la transparencia y el correcto ejercicio de los recursos públicos en el ámbito </w:t>
      </w:r>
      <w:r w:rsidR="004B71F3" w:rsidRPr="004B71F3">
        <w:rPr>
          <w:rFonts w:ascii="Noto Sans" w:hAnsi="Noto Sans" w:cs="Noto Sans"/>
          <w:sz w:val="22"/>
          <w:szCs w:val="22"/>
        </w:rPr>
        <w:t xml:space="preserve">de la </w:t>
      </w:r>
      <w:r w:rsidR="006C28BA" w:rsidRPr="004B71F3">
        <w:rPr>
          <w:rFonts w:ascii="Noto Sans" w:hAnsi="Noto Sans" w:cs="Noto Sans"/>
          <w:sz w:val="22"/>
          <w:szCs w:val="22"/>
        </w:rPr>
        <w:t>educa</w:t>
      </w:r>
      <w:r w:rsidR="004B71F3" w:rsidRPr="004B71F3">
        <w:rPr>
          <w:rFonts w:ascii="Noto Sans" w:hAnsi="Noto Sans" w:cs="Noto Sans"/>
          <w:sz w:val="22"/>
          <w:szCs w:val="22"/>
        </w:rPr>
        <w:t>ción</w:t>
      </w:r>
      <w:r w:rsidR="006C28BA" w:rsidRPr="004B71F3">
        <w:rPr>
          <w:rFonts w:ascii="Noto Sans" w:hAnsi="Noto Sans" w:cs="Noto Sans"/>
          <w:sz w:val="22"/>
          <w:szCs w:val="22"/>
        </w:rPr>
        <w:t xml:space="preserve"> superior.</w:t>
      </w:r>
      <w:r w:rsidR="0052603B" w:rsidRPr="004B71F3">
        <w:rPr>
          <w:rFonts w:ascii="Noto Sans" w:hAnsi="Noto Sans" w:cs="Noto Sans"/>
          <w:sz w:val="22"/>
          <w:szCs w:val="22"/>
        </w:rPr>
        <w:t xml:space="preserve"> </w:t>
      </w:r>
    </w:p>
    <w:p w14:paraId="25D2F414" w14:textId="77777777" w:rsidR="004654B8" w:rsidRDefault="004654B8" w:rsidP="003179E3">
      <w:pPr>
        <w:jc w:val="both"/>
        <w:rPr>
          <w:rFonts w:ascii="Noto Sans" w:hAnsi="Noto Sans" w:cs="Noto Sans"/>
          <w:sz w:val="22"/>
          <w:szCs w:val="22"/>
        </w:rPr>
      </w:pPr>
    </w:p>
    <w:p w14:paraId="106288E5" w14:textId="77777777" w:rsidR="00191292" w:rsidRDefault="00191292" w:rsidP="003179E3">
      <w:pPr>
        <w:jc w:val="both"/>
        <w:rPr>
          <w:rFonts w:ascii="Noto Sans" w:hAnsi="Noto Sans" w:cs="Noto Sans"/>
          <w:sz w:val="22"/>
          <w:szCs w:val="22"/>
        </w:rPr>
      </w:pPr>
    </w:p>
    <w:p w14:paraId="08B777E2" w14:textId="77777777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7A97831F" w14:textId="77777777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6781CC39" w14:textId="77777777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6E4F497B" w14:textId="77777777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3B60E53B" w14:textId="77777777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2C6C343A" w14:textId="77777777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685E5C6A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7A51DA88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09C68F14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375277C3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4EADEC4F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62341713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7FED2F57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70EC4B76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1277387F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7990C67C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34C37449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3EFAC66F" w14:textId="77777777" w:rsidR="00DE1C9A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249E11F1" w14:textId="77777777" w:rsidR="00DE1C9A" w:rsidRPr="00997309" w:rsidRDefault="00DE1C9A" w:rsidP="001D6EF5">
      <w:pPr>
        <w:jc w:val="both"/>
        <w:rPr>
          <w:rFonts w:ascii="Noto Sans" w:hAnsi="Noto Sans" w:cs="Noto Sans"/>
          <w:sz w:val="22"/>
          <w:szCs w:val="22"/>
        </w:rPr>
      </w:pPr>
    </w:p>
    <w:p w14:paraId="4330B020" w14:textId="52AD3ADC" w:rsidR="004654B8" w:rsidRPr="003179E3" w:rsidRDefault="00A3660C" w:rsidP="003179E3">
      <w:pPr>
        <w:pStyle w:val="Ttulo1"/>
        <w:jc w:val="both"/>
        <w:rPr>
          <w:b/>
          <w:bCs/>
          <w:sz w:val="36"/>
          <w:szCs w:val="36"/>
        </w:rPr>
      </w:pPr>
      <w:r w:rsidRPr="003179E3">
        <w:rPr>
          <w:b/>
          <w:bCs/>
          <w:sz w:val="36"/>
          <w:szCs w:val="36"/>
        </w:rPr>
        <w:lastRenderedPageBreak/>
        <w:t>Referencias</w:t>
      </w:r>
    </w:p>
    <w:p w14:paraId="1B0FD7DD" w14:textId="5A86C818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  <w:r w:rsidRPr="00191292">
        <w:rPr>
          <w:rFonts w:ascii="Noto Sans" w:hAnsi="Noto Sans" w:cs="Noto Sans"/>
          <w:sz w:val="22"/>
          <w:szCs w:val="22"/>
        </w:rPr>
        <w:t>Ley General de Desarrollo Social, publicada D.O.F. 20-enero-2004, Última Reforma DOF 15-01-2026</w:t>
      </w:r>
    </w:p>
    <w:p w14:paraId="262FF646" w14:textId="28E824FB" w:rsidR="00191292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  <w:hyperlink r:id="rId10" w:history="1">
        <w:r w:rsidRPr="00580109">
          <w:rPr>
            <w:rStyle w:val="Hipervnculo"/>
            <w:rFonts w:ascii="Noto Sans" w:hAnsi="Noto Sans" w:cs="Noto Sans"/>
            <w:sz w:val="22"/>
            <w:szCs w:val="22"/>
          </w:rPr>
          <w:t>https://www.gob.mx/indesol/documentos/ley-general-de-desarrollo-social</w:t>
        </w:r>
      </w:hyperlink>
    </w:p>
    <w:p w14:paraId="4B35F102" w14:textId="49D908B5" w:rsidR="006E1584" w:rsidRPr="00997309" w:rsidRDefault="006E1584" w:rsidP="001D6EF5">
      <w:pPr>
        <w:jc w:val="both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sz w:val="22"/>
          <w:szCs w:val="22"/>
        </w:rPr>
        <w:t>Reglas de Operación del Programa para el Desarrollo Profesional Docente para el ejercicio fiscal 2025.</w:t>
      </w:r>
    </w:p>
    <w:p w14:paraId="553D6FFF" w14:textId="43BC857F" w:rsidR="00924F2C" w:rsidRPr="00997309" w:rsidRDefault="00924F2C" w:rsidP="001D6EF5">
      <w:pPr>
        <w:jc w:val="both"/>
        <w:rPr>
          <w:rFonts w:ascii="Noto Sans" w:hAnsi="Noto Sans" w:cs="Noto Sans"/>
          <w:sz w:val="22"/>
          <w:szCs w:val="22"/>
        </w:rPr>
      </w:pPr>
      <w:hyperlink r:id="rId11" w:history="1">
        <w:r w:rsidRPr="00997309">
          <w:rPr>
            <w:rStyle w:val="Hipervnculo"/>
            <w:rFonts w:ascii="Noto Sans" w:hAnsi="Noto Sans" w:cs="Noto Sans"/>
            <w:sz w:val="22"/>
            <w:szCs w:val="22"/>
          </w:rPr>
          <w:t>https://dgesui.ses.sep.gob.mx/sites/default/files/2025-03/RO_PRODEP%202025.pdf</w:t>
        </w:r>
      </w:hyperlink>
    </w:p>
    <w:p w14:paraId="2C403D84" w14:textId="41C4B61B" w:rsidR="00F360E7" w:rsidRPr="00997309" w:rsidRDefault="00280205" w:rsidP="001D6EF5">
      <w:pPr>
        <w:jc w:val="both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sz w:val="22"/>
          <w:szCs w:val="22"/>
        </w:rPr>
        <w:t>Documentos Normativos</w:t>
      </w:r>
    </w:p>
    <w:p w14:paraId="01D2AC7A" w14:textId="524485AA" w:rsidR="00A3660C" w:rsidRPr="00997309" w:rsidRDefault="00EE460F" w:rsidP="001D6EF5">
      <w:pPr>
        <w:jc w:val="both"/>
        <w:rPr>
          <w:rFonts w:ascii="Noto Sans" w:hAnsi="Noto Sans" w:cs="Noto Sans"/>
          <w:sz w:val="22"/>
          <w:szCs w:val="22"/>
        </w:rPr>
      </w:pPr>
      <w:hyperlink r:id="rId12" w:history="1">
        <w:r w:rsidRPr="00997309">
          <w:rPr>
            <w:rStyle w:val="Hipervnculo"/>
            <w:rFonts w:ascii="Noto Sans" w:hAnsi="Noto Sans" w:cs="Noto Sans"/>
            <w:sz w:val="22"/>
            <w:szCs w:val="22"/>
          </w:rPr>
          <w:t>https://dgesui.ses.sep.gob.mx/programas/programa-para-el-desarrollo-profesional-docente-para-el-tipo-superior-s247-prodep</w:t>
        </w:r>
      </w:hyperlink>
    </w:p>
    <w:p w14:paraId="3667F985" w14:textId="77777777" w:rsidR="00924F2C" w:rsidRPr="00997309" w:rsidRDefault="00EE460F" w:rsidP="001D6EF5">
      <w:pPr>
        <w:jc w:val="both"/>
        <w:rPr>
          <w:rFonts w:ascii="Noto Sans" w:hAnsi="Noto Sans" w:cs="Noto Sans"/>
          <w:sz w:val="22"/>
          <w:szCs w:val="22"/>
        </w:rPr>
      </w:pPr>
      <w:r w:rsidRPr="00997309">
        <w:rPr>
          <w:rFonts w:ascii="Noto Sans" w:hAnsi="Noto Sans" w:cs="Noto Sans"/>
          <w:sz w:val="22"/>
          <w:szCs w:val="22"/>
        </w:rPr>
        <w:t>Informes</w:t>
      </w:r>
      <w:r w:rsidR="00924F2C" w:rsidRPr="00997309">
        <w:rPr>
          <w:rFonts w:ascii="Noto Sans" w:hAnsi="Noto Sans" w:cs="Noto Sans"/>
          <w:sz w:val="22"/>
          <w:szCs w:val="22"/>
        </w:rPr>
        <w:t xml:space="preserve"> Trimestrales</w:t>
      </w:r>
    </w:p>
    <w:p w14:paraId="36346F0E" w14:textId="5997BD1E" w:rsidR="00EE460F" w:rsidRDefault="00924F2C" w:rsidP="001D6EF5">
      <w:pPr>
        <w:jc w:val="both"/>
      </w:pPr>
      <w:hyperlink r:id="rId13" w:history="1">
        <w:r w:rsidRPr="00997309">
          <w:rPr>
            <w:rStyle w:val="Hipervnculo"/>
            <w:rFonts w:ascii="Noto Sans" w:hAnsi="Noto Sans" w:cs="Noto Sans"/>
            <w:sz w:val="22"/>
            <w:szCs w:val="22"/>
          </w:rPr>
          <w:t>https://dgesui.ses.sep.gob.mx/programas/programa-para-el-desarrollo-profesional-docente-para-el-tipo-superior-s247-prodep</w:t>
        </w:r>
      </w:hyperlink>
    </w:p>
    <w:p w14:paraId="311284F9" w14:textId="77777777" w:rsidR="00191292" w:rsidRPr="00997309" w:rsidRDefault="00191292" w:rsidP="001D6EF5">
      <w:pPr>
        <w:jc w:val="both"/>
        <w:rPr>
          <w:rFonts w:ascii="Noto Sans" w:hAnsi="Noto Sans" w:cs="Noto Sans"/>
          <w:sz w:val="22"/>
          <w:szCs w:val="22"/>
        </w:rPr>
      </w:pPr>
    </w:p>
    <w:sectPr w:rsidR="00191292" w:rsidRPr="00997309" w:rsidSect="00B86A0E">
      <w:footerReference w:type="default" r:id="rId14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C44E" w14:textId="77777777" w:rsidR="00C5510F" w:rsidRDefault="00C5510F" w:rsidP="00B86A0E">
      <w:pPr>
        <w:spacing w:after="0" w:line="240" w:lineRule="auto"/>
      </w:pPr>
      <w:r>
        <w:separator/>
      </w:r>
    </w:p>
  </w:endnote>
  <w:endnote w:type="continuationSeparator" w:id="0">
    <w:p w14:paraId="346F6E7B" w14:textId="77777777" w:rsidR="00C5510F" w:rsidRDefault="00C5510F" w:rsidP="00B8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46485"/>
      <w:docPartObj>
        <w:docPartGallery w:val="Page Numbers (Bottom of Page)"/>
        <w:docPartUnique/>
      </w:docPartObj>
    </w:sdtPr>
    <w:sdtEndPr/>
    <w:sdtContent>
      <w:p w14:paraId="135E20F5" w14:textId="3D54D497" w:rsidR="00B86A0E" w:rsidRDefault="00B86A0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E59E8DB" w14:textId="77777777" w:rsidR="00B86A0E" w:rsidRDefault="00B86A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2BE7" w14:textId="77777777" w:rsidR="00C5510F" w:rsidRDefault="00C5510F" w:rsidP="00B86A0E">
      <w:pPr>
        <w:spacing w:after="0" w:line="240" w:lineRule="auto"/>
      </w:pPr>
      <w:r>
        <w:separator/>
      </w:r>
    </w:p>
  </w:footnote>
  <w:footnote w:type="continuationSeparator" w:id="0">
    <w:p w14:paraId="5CEA49AA" w14:textId="77777777" w:rsidR="00C5510F" w:rsidRDefault="00C5510F" w:rsidP="00B86A0E">
      <w:pPr>
        <w:spacing w:after="0" w:line="240" w:lineRule="auto"/>
      </w:pPr>
      <w:r>
        <w:continuationSeparator/>
      </w:r>
    </w:p>
  </w:footnote>
  <w:footnote w:id="1">
    <w:p w14:paraId="69530C25" w14:textId="57BCAD45" w:rsidR="0035301D" w:rsidRDefault="0035301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A2DB4">
        <w:t xml:space="preserve">Artículo 69 Ley General de Desarrollo Social, publicada D.O.F. 20-enero-2004, </w:t>
      </w:r>
      <w:r w:rsidRPr="00A91472">
        <w:t>Última Reforma DOF 15-01-2026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E24"/>
    <w:multiLevelType w:val="hybridMultilevel"/>
    <w:tmpl w:val="31C22C82"/>
    <w:lvl w:ilvl="0" w:tplc="B3CC35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F2DBF"/>
    <w:multiLevelType w:val="multilevel"/>
    <w:tmpl w:val="4FF2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A1C8E"/>
    <w:multiLevelType w:val="hybridMultilevel"/>
    <w:tmpl w:val="A39C11BC"/>
    <w:lvl w:ilvl="0" w:tplc="72ACC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D5D675C"/>
    <w:multiLevelType w:val="hybridMultilevel"/>
    <w:tmpl w:val="263AC3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B2019"/>
    <w:multiLevelType w:val="hybridMultilevel"/>
    <w:tmpl w:val="D99E1A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50902DA"/>
    <w:multiLevelType w:val="hybridMultilevel"/>
    <w:tmpl w:val="4454C4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F3D4B"/>
    <w:multiLevelType w:val="hybridMultilevel"/>
    <w:tmpl w:val="5E46024C"/>
    <w:lvl w:ilvl="0" w:tplc="08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7" w15:restartNumberingAfterBreak="0">
    <w:nsid w:val="60E44771"/>
    <w:multiLevelType w:val="hybridMultilevel"/>
    <w:tmpl w:val="EC6214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525B4"/>
    <w:multiLevelType w:val="hybridMultilevel"/>
    <w:tmpl w:val="A2ECB72C"/>
    <w:lvl w:ilvl="0" w:tplc="08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907688161">
    <w:abstractNumId w:val="6"/>
  </w:num>
  <w:num w:numId="2" w16cid:durableId="1572542980">
    <w:abstractNumId w:val="1"/>
  </w:num>
  <w:num w:numId="3" w16cid:durableId="1052853788">
    <w:abstractNumId w:val="8"/>
  </w:num>
  <w:num w:numId="4" w16cid:durableId="1588155755">
    <w:abstractNumId w:val="3"/>
  </w:num>
  <w:num w:numId="5" w16cid:durableId="1007058871">
    <w:abstractNumId w:val="5"/>
  </w:num>
  <w:num w:numId="6" w16cid:durableId="1304232567">
    <w:abstractNumId w:val="2"/>
  </w:num>
  <w:num w:numId="7" w16cid:durableId="1139810020">
    <w:abstractNumId w:val="0"/>
  </w:num>
  <w:num w:numId="8" w16cid:durableId="264536058">
    <w:abstractNumId w:val="4"/>
  </w:num>
  <w:num w:numId="9" w16cid:durableId="2132479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0E"/>
    <w:rsid w:val="00003940"/>
    <w:rsid w:val="00003C2C"/>
    <w:rsid w:val="00006B61"/>
    <w:rsid w:val="000075DA"/>
    <w:rsid w:val="00011FD3"/>
    <w:rsid w:val="00021C5D"/>
    <w:rsid w:val="00031C3F"/>
    <w:rsid w:val="00037133"/>
    <w:rsid w:val="00042BF2"/>
    <w:rsid w:val="00043D4D"/>
    <w:rsid w:val="000671EF"/>
    <w:rsid w:val="00070A7A"/>
    <w:rsid w:val="00072567"/>
    <w:rsid w:val="00073E1C"/>
    <w:rsid w:val="00077182"/>
    <w:rsid w:val="00077C4F"/>
    <w:rsid w:val="000975F1"/>
    <w:rsid w:val="000A1818"/>
    <w:rsid w:val="000A2899"/>
    <w:rsid w:val="000A2DB4"/>
    <w:rsid w:val="000A43CE"/>
    <w:rsid w:val="000B412A"/>
    <w:rsid w:val="000C4C73"/>
    <w:rsid w:val="000C593B"/>
    <w:rsid w:val="000D0F79"/>
    <w:rsid w:val="000D6AC4"/>
    <w:rsid w:val="000F7701"/>
    <w:rsid w:val="001033A2"/>
    <w:rsid w:val="0010553C"/>
    <w:rsid w:val="001062EE"/>
    <w:rsid w:val="001171CB"/>
    <w:rsid w:val="00147274"/>
    <w:rsid w:val="00150BAC"/>
    <w:rsid w:val="00153D6C"/>
    <w:rsid w:val="00155EF7"/>
    <w:rsid w:val="00157945"/>
    <w:rsid w:val="00167F08"/>
    <w:rsid w:val="00172679"/>
    <w:rsid w:val="00176BC3"/>
    <w:rsid w:val="00182C98"/>
    <w:rsid w:val="00182CC1"/>
    <w:rsid w:val="00191292"/>
    <w:rsid w:val="001A023A"/>
    <w:rsid w:val="001B36AF"/>
    <w:rsid w:val="001C7C97"/>
    <w:rsid w:val="001D32D9"/>
    <w:rsid w:val="001D37CE"/>
    <w:rsid w:val="001D3D48"/>
    <w:rsid w:val="001D6A97"/>
    <w:rsid w:val="001D6EF5"/>
    <w:rsid w:val="001E032F"/>
    <w:rsid w:val="001E0974"/>
    <w:rsid w:val="001E7083"/>
    <w:rsid w:val="001F7E7C"/>
    <w:rsid w:val="00200CDD"/>
    <w:rsid w:val="002037A5"/>
    <w:rsid w:val="00205082"/>
    <w:rsid w:val="00222BC8"/>
    <w:rsid w:val="00227939"/>
    <w:rsid w:val="0023628A"/>
    <w:rsid w:val="00244177"/>
    <w:rsid w:val="00246E31"/>
    <w:rsid w:val="002578A2"/>
    <w:rsid w:val="002601B7"/>
    <w:rsid w:val="00260D07"/>
    <w:rsid w:val="00280205"/>
    <w:rsid w:val="0028096E"/>
    <w:rsid w:val="002810BD"/>
    <w:rsid w:val="002825D8"/>
    <w:rsid w:val="00287C5A"/>
    <w:rsid w:val="002B16CD"/>
    <w:rsid w:val="002B2415"/>
    <w:rsid w:val="002C5836"/>
    <w:rsid w:val="002D598D"/>
    <w:rsid w:val="002F414D"/>
    <w:rsid w:val="002F41B4"/>
    <w:rsid w:val="00303FE4"/>
    <w:rsid w:val="00316350"/>
    <w:rsid w:val="003179E3"/>
    <w:rsid w:val="00325691"/>
    <w:rsid w:val="0033363B"/>
    <w:rsid w:val="00334A7E"/>
    <w:rsid w:val="003375AE"/>
    <w:rsid w:val="0035301D"/>
    <w:rsid w:val="003653A4"/>
    <w:rsid w:val="00367B0B"/>
    <w:rsid w:val="0037509A"/>
    <w:rsid w:val="0038026F"/>
    <w:rsid w:val="0038099E"/>
    <w:rsid w:val="00383E4C"/>
    <w:rsid w:val="003927A5"/>
    <w:rsid w:val="003943CD"/>
    <w:rsid w:val="0039579A"/>
    <w:rsid w:val="003B0BE6"/>
    <w:rsid w:val="003B652D"/>
    <w:rsid w:val="003C67CD"/>
    <w:rsid w:val="003C7330"/>
    <w:rsid w:val="003F2222"/>
    <w:rsid w:val="00401EB7"/>
    <w:rsid w:val="00404C14"/>
    <w:rsid w:val="00411EB1"/>
    <w:rsid w:val="00423C54"/>
    <w:rsid w:val="00424CCD"/>
    <w:rsid w:val="004304EA"/>
    <w:rsid w:val="00433775"/>
    <w:rsid w:val="00440246"/>
    <w:rsid w:val="00443138"/>
    <w:rsid w:val="0044457E"/>
    <w:rsid w:val="004468C9"/>
    <w:rsid w:val="00446936"/>
    <w:rsid w:val="004545C8"/>
    <w:rsid w:val="00461F6C"/>
    <w:rsid w:val="004638BF"/>
    <w:rsid w:val="00464A2D"/>
    <w:rsid w:val="004654B8"/>
    <w:rsid w:val="004702EF"/>
    <w:rsid w:val="004771C6"/>
    <w:rsid w:val="004874FF"/>
    <w:rsid w:val="004B71F3"/>
    <w:rsid w:val="004C14F7"/>
    <w:rsid w:val="004C2E5E"/>
    <w:rsid w:val="004C31CE"/>
    <w:rsid w:val="004C37AA"/>
    <w:rsid w:val="004E636C"/>
    <w:rsid w:val="004F1085"/>
    <w:rsid w:val="004F2EDC"/>
    <w:rsid w:val="004F2F27"/>
    <w:rsid w:val="004F5863"/>
    <w:rsid w:val="00500170"/>
    <w:rsid w:val="00500E35"/>
    <w:rsid w:val="00503F4F"/>
    <w:rsid w:val="00505E99"/>
    <w:rsid w:val="0052135F"/>
    <w:rsid w:val="0052425B"/>
    <w:rsid w:val="0052603B"/>
    <w:rsid w:val="0053669D"/>
    <w:rsid w:val="00537F0A"/>
    <w:rsid w:val="005421E3"/>
    <w:rsid w:val="00544054"/>
    <w:rsid w:val="00563787"/>
    <w:rsid w:val="00584D0F"/>
    <w:rsid w:val="00587A2E"/>
    <w:rsid w:val="00592BE8"/>
    <w:rsid w:val="005936B8"/>
    <w:rsid w:val="00593BCF"/>
    <w:rsid w:val="005A3068"/>
    <w:rsid w:val="005B012A"/>
    <w:rsid w:val="005B11C2"/>
    <w:rsid w:val="005B7BC5"/>
    <w:rsid w:val="005C5EC6"/>
    <w:rsid w:val="005E1BE5"/>
    <w:rsid w:val="005E24CC"/>
    <w:rsid w:val="005E7F7C"/>
    <w:rsid w:val="005F1B5A"/>
    <w:rsid w:val="005F5922"/>
    <w:rsid w:val="00612813"/>
    <w:rsid w:val="0061455D"/>
    <w:rsid w:val="006250DD"/>
    <w:rsid w:val="0062674C"/>
    <w:rsid w:val="006275B7"/>
    <w:rsid w:val="00632F1C"/>
    <w:rsid w:val="00634EC9"/>
    <w:rsid w:val="00651E94"/>
    <w:rsid w:val="00653708"/>
    <w:rsid w:val="00660A93"/>
    <w:rsid w:val="00681F5B"/>
    <w:rsid w:val="00683F6C"/>
    <w:rsid w:val="006A0EBF"/>
    <w:rsid w:val="006A1EF5"/>
    <w:rsid w:val="006B28ED"/>
    <w:rsid w:val="006B4DD0"/>
    <w:rsid w:val="006C17EE"/>
    <w:rsid w:val="006C28BA"/>
    <w:rsid w:val="006C7AAF"/>
    <w:rsid w:val="006D1614"/>
    <w:rsid w:val="006D3C93"/>
    <w:rsid w:val="006D7A0A"/>
    <w:rsid w:val="006E1584"/>
    <w:rsid w:val="006E21A1"/>
    <w:rsid w:val="006E574C"/>
    <w:rsid w:val="00710A35"/>
    <w:rsid w:val="00711C45"/>
    <w:rsid w:val="00720018"/>
    <w:rsid w:val="00720C74"/>
    <w:rsid w:val="00724D1C"/>
    <w:rsid w:val="0072617F"/>
    <w:rsid w:val="00726B83"/>
    <w:rsid w:val="0073504A"/>
    <w:rsid w:val="00735363"/>
    <w:rsid w:val="00762062"/>
    <w:rsid w:val="00764CF8"/>
    <w:rsid w:val="007667A0"/>
    <w:rsid w:val="00767861"/>
    <w:rsid w:val="00770024"/>
    <w:rsid w:val="007868B2"/>
    <w:rsid w:val="00792096"/>
    <w:rsid w:val="007A36DA"/>
    <w:rsid w:val="007B10C6"/>
    <w:rsid w:val="007B6086"/>
    <w:rsid w:val="007C127E"/>
    <w:rsid w:val="007D282C"/>
    <w:rsid w:val="007E5050"/>
    <w:rsid w:val="007E6472"/>
    <w:rsid w:val="007F39C9"/>
    <w:rsid w:val="007F760F"/>
    <w:rsid w:val="00806B3B"/>
    <w:rsid w:val="00811683"/>
    <w:rsid w:val="00813123"/>
    <w:rsid w:val="0081356C"/>
    <w:rsid w:val="00813F66"/>
    <w:rsid w:val="00823469"/>
    <w:rsid w:val="00835319"/>
    <w:rsid w:val="00836D00"/>
    <w:rsid w:val="00840358"/>
    <w:rsid w:val="00840E89"/>
    <w:rsid w:val="008420C6"/>
    <w:rsid w:val="00844CDC"/>
    <w:rsid w:val="00855860"/>
    <w:rsid w:val="00866601"/>
    <w:rsid w:val="00871E4C"/>
    <w:rsid w:val="00875A14"/>
    <w:rsid w:val="008858E6"/>
    <w:rsid w:val="00892143"/>
    <w:rsid w:val="008A433D"/>
    <w:rsid w:val="008B4804"/>
    <w:rsid w:val="008B52BF"/>
    <w:rsid w:val="008B7738"/>
    <w:rsid w:val="008C1C19"/>
    <w:rsid w:val="008C2084"/>
    <w:rsid w:val="008C2625"/>
    <w:rsid w:val="008C3C2B"/>
    <w:rsid w:val="008D1729"/>
    <w:rsid w:val="008D7A30"/>
    <w:rsid w:val="008F3CB2"/>
    <w:rsid w:val="008F4735"/>
    <w:rsid w:val="0090070D"/>
    <w:rsid w:val="009136B7"/>
    <w:rsid w:val="009138DF"/>
    <w:rsid w:val="00914E5D"/>
    <w:rsid w:val="009170C8"/>
    <w:rsid w:val="0091732A"/>
    <w:rsid w:val="00921D13"/>
    <w:rsid w:val="00924F2C"/>
    <w:rsid w:val="00932525"/>
    <w:rsid w:val="009355A9"/>
    <w:rsid w:val="00940F10"/>
    <w:rsid w:val="00946566"/>
    <w:rsid w:val="009532BF"/>
    <w:rsid w:val="00953593"/>
    <w:rsid w:val="00966C3E"/>
    <w:rsid w:val="009670E8"/>
    <w:rsid w:val="009719C0"/>
    <w:rsid w:val="00976DF5"/>
    <w:rsid w:val="00983BDE"/>
    <w:rsid w:val="009922E4"/>
    <w:rsid w:val="00996813"/>
    <w:rsid w:val="00997309"/>
    <w:rsid w:val="009A0D8E"/>
    <w:rsid w:val="009A7B0E"/>
    <w:rsid w:val="009B72D9"/>
    <w:rsid w:val="009C3D6A"/>
    <w:rsid w:val="009C798C"/>
    <w:rsid w:val="009E1B79"/>
    <w:rsid w:val="009E2A69"/>
    <w:rsid w:val="009F72B2"/>
    <w:rsid w:val="009F74C4"/>
    <w:rsid w:val="009F78AF"/>
    <w:rsid w:val="009F7E79"/>
    <w:rsid w:val="00A00E03"/>
    <w:rsid w:val="00A035DF"/>
    <w:rsid w:val="00A04C75"/>
    <w:rsid w:val="00A0504E"/>
    <w:rsid w:val="00A16F95"/>
    <w:rsid w:val="00A219B9"/>
    <w:rsid w:val="00A3169B"/>
    <w:rsid w:val="00A3660C"/>
    <w:rsid w:val="00A36D72"/>
    <w:rsid w:val="00A41BE1"/>
    <w:rsid w:val="00A44431"/>
    <w:rsid w:val="00A50946"/>
    <w:rsid w:val="00A510C0"/>
    <w:rsid w:val="00A76ED7"/>
    <w:rsid w:val="00A83092"/>
    <w:rsid w:val="00A8792B"/>
    <w:rsid w:val="00A91472"/>
    <w:rsid w:val="00A944F9"/>
    <w:rsid w:val="00A9687E"/>
    <w:rsid w:val="00AA23A5"/>
    <w:rsid w:val="00AC1E56"/>
    <w:rsid w:val="00AD12CE"/>
    <w:rsid w:val="00AE5EB2"/>
    <w:rsid w:val="00AF37C6"/>
    <w:rsid w:val="00AF55EC"/>
    <w:rsid w:val="00AF67E0"/>
    <w:rsid w:val="00B0220C"/>
    <w:rsid w:val="00B14BB1"/>
    <w:rsid w:val="00B20CAB"/>
    <w:rsid w:val="00B2195A"/>
    <w:rsid w:val="00B23A26"/>
    <w:rsid w:val="00B30273"/>
    <w:rsid w:val="00B32B12"/>
    <w:rsid w:val="00B33F97"/>
    <w:rsid w:val="00B348DB"/>
    <w:rsid w:val="00B364FB"/>
    <w:rsid w:val="00B41977"/>
    <w:rsid w:val="00B42A63"/>
    <w:rsid w:val="00B524FA"/>
    <w:rsid w:val="00B62C65"/>
    <w:rsid w:val="00B77E56"/>
    <w:rsid w:val="00B82DD1"/>
    <w:rsid w:val="00B84034"/>
    <w:rsid w:val="00B84C79"/>
    <w:rsid w:val="00B862EF"/>
    <w:rsid w:val="00B86A0E"/>
    <w:rsid w:val="00B8736C"/>
    <w:rsid w:val="00B9726B"/>
    <w:rsid w:val="00BA2A06"/>
    <w:rsid w:val="00BB411B"/>
    <w:rsid w:val="00BB742B"/>
    <w:rsid w:val="00BC0C64"/>
    <w:rsid w:val="00BC3949"/>
    <w:rsid w:val="00BC4433"/>
    <w:rsid w:val="00BD0B2D"/>
    <w:rsid w:val="00BD285D"/>
    <w:rsid w:val="00BE0D46"/>
    <w:rsid w:val="00BE7C0F"/>
    <w:rsid w:val="00C03DFB"/>
    <w:rsid w:val="00C074DF"/>
    <w:rsid w:val="00C11529"/>
    <w:rsid w:val="00C1161B"/>
    <w:rsid w:val="00C124BA"/>
    <w:rsid w:val="00C22424"/>
    <w:rsid w:val="00C2714F"/>
    <w:rsid w:val="00C37215"/>
    <w:rsid w:val="00C46995"/>
    <w:rsid w:val="00C5510F"/>
    <w:rsid w:val="00C573CD"/>
    <w:rsid w:val="00C66313"/>
    <w:rsid w:val="00C674C9"/>
    <w:rsid w:val="00C80388"/>
    <w:rsid w:val="00C861D8"/>
    <w:rsid w:val="00CA2DE9"/>
    <w:rsid w:val="00CA6CEA"/>
    <w:rsid w:val="00CD165D"/>
    <w:rsid w:val="00CD3649"/>
    <w:rsid w:val="00CF3277"/>
    <w:rsid w:val="00CF7D9E"/>
    <w:rsid w:val="00D04B79"/>
    <w:rsid w:val="00D12E18"/>
    <w:rsid w:val="00D21639"/>
    <w:rsid w:val="00D2637E"/>
    <w:rsid w:val="00D3052F"/>
    <w:rsid w:val="00D3208F"/>
    <w:rsid w:val="00D3651D"/>
    <w:rsid w:val="00D44F54"/>
    <w:rsid w:val="00D51117"/>
    <w:rsid w:val="00D57CEB"/>
    <w:rsid w:val="00D66EF3"/>
    <w:rsid w:val="00D67D6E"/>
    <w:rsid w:val="00D73B9A"/>
    <w:rsid w:val="00D8060C"/>
    <w:rsid w:val="00D860A8"/>
    <w:rsid w:val="00DA010F"/>
    <w:rsid w:val="00DA116E"/>
    <w:rsid w:val="00DA1BA2"/>
    <w:rsid w:val="00DB529B"/>
    <w:rsid w:val="00DB547F"/>
    <w:rsid w:val="00DC12F7"/>
    <w:rsid w:val="00DC7846"/>
    <w:rsid w:val="00DD188E"/>
    <w:rsid w:val="00DE1C9A"/>
    <w:rsid w:val="00DF0913"/>
    <w:rsid w:val="00DF1BA5"/>
    <w:rsid w:val="00DF31EB"/>
    <w:rsid w:val="00E04402"/>
    <w:rsid w:val="00E06C16"/>
    <w:rsid w:val="00E10224"/>
    <w:rsid w:val="00E11298"/>
    <w:rsid w:val="00E232FF"/>
    <w:rsid w:val="00E352CF"/>
    <w:rsid w:val="00E40BD6"/>
    <w:rsid w:val="00E41EB5"/>
    <w:rsid w:val="00E54AFF"/>
    <w:rsid w:val="00E6437F"/>
    <w:rsid w:val="00E65E0B"/>
    <w:rsid w:val="00E82CF8"/>
    <w:rsid w:val="00E91F07"/>
    <w:rsid w:val="00E968A3"/>
    <w:rsid w:val="00E97340"/>
    <w:rsid w:val="00E97EAD"/>
    <w:rsid w:val="00EB36E6"/>
    <w:rsid w:val="00ED195A"/>
    <w:rsid w:val="00ED541B"/>
    <w:rsid w:val="00ED5F1A"/>
    <w:rsid w:val="00EE460F"/>
    <w:rsid w:val="00EE665B"/>
    <w:rsid w:val="00EF38B3"/>
    <w:rsid w:val="00EF54F7"/>
    <w:rsid w:val="00F04CB3"/>
    <w:rsid w:val="00F2457A"/>
    <w:rsid w:val="00F3097B"/>
    <w:rsid w:val="00F360E7"/>
    <w:rsid w:val="00F376DB"/>
    <w:rsid w:val="00F44D55"/>
    <w:rsid w:val="00F55574"/>
    <w:rsid w:val="00F56DA6"/>
    <w:rsid w:val="00F71AFB"/>
    <w:rsid w:val="00F72E4B"/>
    <w:rsid w:val="00F87B1A"/>
    <w:rsid w:val="00F95095"/>
    <w:rsid w:val="00F97829"/>
    <w:rsid w:val="00FA57C8"/>
    <w:rsid w:val="00FB7038"/>
    <w:rsid w:val="00FC3B93"/>
    <w:rsid w:val="00FC50B7"/>
    <w:rsid w:val="00FC77BB"/>
    <w:rsid w:val="00FD3027"/>
    <w:rsid w:val="00FE2BE8"/>
    <w:rsid w:val="05F0772D"/>
    <w:rsid w:val="099DB390"/>
    <w:rsid w:val="1093CE43"/>
    <w:rsid w:val="2E5B339D"/>
    <w:rsid w:val="38F17C87"/>
    <w:rsid w:val="4A3A95CA"/>
    <w:rsid w:val="4BCA7B19"/>
    <w:rsid w:val="550A39DC"/>
    <w:rsid w:val="575A4D40"/>
    <w:rsid w:val="5A3E02C1"/>
    <w:rsid w:val="6BDDDAF8"/>
    <w:rsid w:val="7FDCA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8C3BF"/>
  <w15:chartTrackingRefBased/>
  <w15:docId w15:val="{1C55AF4F-B752-41F5-AC27-5B207B06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A0E"/>
  </w:style>
  <w:style w:type="paragraph" w:styleId="Ttulo1">
    <w:name w:val="heading 1"/>
    <w:basedOn w:val="Normal"/>
    <w:next w:val="Normal"/>
    <w:link w:val="Ttulo1Car"/>
    <w:uiPriority w:val="9"/>
    <w:qFormat/>
    <w:rsid w:val="00B86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6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6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6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6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6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6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6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6A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6A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A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A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6A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A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6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6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6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6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6A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6A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6A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6A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6A0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86A0E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86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6A0E"/>
  </w:style>
  <w:style w:type="paragraph" w:styleId="Piedepgina">
    <w:name w:val="footer"/>
    <w:basedOn w:val="Normal"/>
    <w:link w:val="PiedepginaCar"/>
    <w:uiPriority w:val="99"/>
    <w:unhideWhenUsed/>
    <w:rsid w:val="00B86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6A0E"/>
  </w:style>
  <w:style w:type="paragraph" w:styleId="Sinespaciado">
    <w:name w:val="No Spacing"/>
    <w:link w:val="SinespaciadoCar"/>
    <w:uiPriority w:val="1"/>
    <w:qFormat/>
    <w:rsid w:val="00B86A0E"/>
    <w:pPr>
      <w:spacing w:after="0" w:line="240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86A0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A7B0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A7B0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A7B0E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182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dgesui.ses.sep.gob.mx/programas/programa-para-el-desarrollo-profesional-docente-para-el-tipo-superior-s247-prod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gesui.ses.sep.gob.mx/programas/programa-para-el-desarrollo-profesional-docente-para-el-tipo-superior-s247-prod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gesui.ses.sep.gob.mx/sites/default/files/2025-03/RO_PRODEP%202025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b.mx/indesol/documentos/ley-general-de-desarrollo-socia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IPES BENEFICIARIAS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IPES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715-41FC-8CBD-0BFA19B0CDA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715-41FC-8CBD-0BFA19B0CDA3}"/>
              </c:ext>
            </c:extLst>
          </c:dPt>
          <c:dLbls>
            <c:dLbl>
              <c:idx val="0"/>
              <c:layout>
                <c:manualLayout>
                  <c:x val="-0.10013440860215053"/>
                  <c:y val="-0.20011320013569733"/>
                </c:manualLayout>
              </c:layout>
              <c:tx>
                <c:rich>
                  <a:bodyPr/>
                  <a:lstStyle/>
                  <a:p>
                    <a:fld id="{E79BA666-63EB-4263-BB4F-EF073CF73D4F}" type="VALUE">
                      <a:rPr lang="en-US">
                        <a:solidFill>
                          <a:schemeClr val="bg1"/>
                        </a:solidFill>
                      </a:rPr>
                      <a:pPr/>
                      <a:t>[VALOR]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r>
                      <a:rPr lang="en-US" baseline="0">
                        <a:solidFill>
                          <a:schemeClr val="bg1"/>
                        </a:solidFill>
                      </a:rPr>
                      <a:t> </a:t>
                    </a:r>
                  </a:p>
                  <a:p>
                    <a:fld id="{4C41ECC7-568E-42E9-A4EB-B88AA8BE502B}" type="PERCENTAGE">
                      <a:rPr lang="en-US" baseline="0">
                        <a:solidFill>
                          <a:schemeClr val="bg1"/>
                        </a:solidFill>
                      </a:rPr>
                      <a:pPr/>
                      <a:t>[PORCENTAJE]</a:t>
                    </a:fld>
                    <a:endParaRPr lang="es-MX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715-41FC-8CBD-0BFA19B0CDA3}"/>
                </c:ext>
              </c:extLst>
            </c:dLbl>
            <c:dLbl>
              <c:idx val="1"/>
              <c:layout>
                <c:manualLayout>
                  <c:x val="9.2219329438658834E-2"/>
                  <c:y val="0.1139457567804024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C5BA777-BFE1-4ACE-9FF1-AF7BAF241D4E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[VALOR]</a:t>
                    </a:fld>
                    <a:endParaRPr lang="en-US" baseline="0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 baseline="0">
                        <a:solidFill>
                          <a:schemeClr val="bg1"/>
                        </a:solidFill>
                      </a:rPr>
                      <a:t> </a:t>
                    </a: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E93F8EE6-42D8-433A-8474-A73869D6045D}" type="PERCENTAGE">
                      <a:rPr lang="en-US" baseline="0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[PORCENTAJE]</a:t>
                    </a:fld>
                    <a:endParaRPr lang="es-MX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715-41FC-8CBD-0BFA19B0CD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Población beneficiaria</c:v>
                </c:pt>
                <c:pt idx="1">
                  <c:v>Población no beneficiaria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61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15-41FC-8CBD-0BFA19B0C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IPES que cumplieron con el total de actividades de Contraloría Social</a:t>
            </a:r>
          </a:p>
          <a:p>
            <a:pPr>
              <a:defRPr/>
            </a:pPr>
            <a:endParaRPr lang="en-US"/>
          </a:p>
          <a:p>
            <a:pPr>
              <a:defRPr/>
            </a:pPr>
            <a:r>
              <a:rPr lang="en-US"/>
              <a:t>Total de IPES 61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0.332564609199131"/>
          <c:y val="0.3657064794611517"/>
          <c:w val="0.37232416172697508"/>
          <c:h val="0.47908699364386675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IPES que cumplieron con el total de actividades de Contrarloría Social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8E5-4579-8107-588ACEC10AD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8E5-4579-8107-588ACEC10AD4}"/>
              </c:ext>
            </c:extLst>
          </c:dPt>
          <c:dLbls>
            <c:dLbl>
              <c:idx val="0"/>
              <c:layout>
                <c:manualLayout>
                  <c:x val="-2.7777777777777776E-2"/>
                  <c:y val="3.037490684034866E-3"/>
                </c:manualLayout>
              </c:layout>
              <c:tx>
                <c:rich>
                  <a:bodyPr/>
                  <a:lstStyle/>
                  <a:p>
                    <a:fld id="{E79BA666-63EB-4263-BB4F-EF073CF73D4F}" type="VALUE">
                      <a:rPr lang="en-US"/>
                      <a:pPr/>
                      <a:t>[VALOR]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</a:p>
                  <a:p>
                    <a:fld id="{4C41ECC7-568E-42E9-A4EB-B88AA8BE502B}" type="PERCENTAGE">
                      <a:rPr lang="en-US" baseline="0"/>
                      <a:pPr/>
                      <a:t>[PORCENTAJE]</a:t>
                    </a:fld>
                    <a:endParaRPr lang="es-MX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8E5-4579-8107-588ACEC10AD4}"/>
                </c:ext>
              </c:extLst>
            </c:dLbl>
            <c:dLbl>
              <c:idx val="1"/>
              <c:layout>
                <c:manualLayout>
                  <c:x val="2.3148148148148147E-3"/>
                  <c:y val="-2.9400645906915956E-4"/>
                </c:manualLayout>
              </c:layout>
              <c:tx>
                <c:rich>
                  <a:bodyPr/>
                  <a:lstStyle/>
                  <a:p>
                    <a:fld id="{0C5BA777-BFE1-4ACE-9FF1-AF7BAF241D4E}" type="VALUE">
                      <a:rPr lang="en-US"/>
                      <a:pPr/>
                      <a:t>[VALOR]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</a:p>
                  <a:p>
                    <a:fld id="{E93F8EE6-42D8-433A-8474-A73869D6045D}" type="PERCENTAGE">
                      <a:rPr lang="en-US" baseline="0"/>
                      <a:pPr/>
                      <a:t>[PORCENTAJE]</a:t>
                    </a:fld>
                    <a:endParaRPr lang="es-MX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E5-4579-8107-588ACEC10A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5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Noto Sans" panose="020B0502040504020204" pitchFamily="34" charset="0"/>
                    <a:ea typeface="Noto Sans" panose="020B0502040504020204" pitchFamily="34" charset="0"/>
                    <a:cs typeface="Noto Sans" panose="020B0502040504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Cumplimiento</c:v>
                </c:pt>
                <c:pt idx="1">
                  <c:v>Incumplimiento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E5-4579-8107-588ACEC10A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lt1">
                  <a:lumMod val="85000"/>
                </a:schemeClr>
              </a:solidFill>
              <a:latin typeface="Noto Sans" panose="020B0502040504020204" pitchFamily="34" charset="0"/>
              <a:ea typeface="Noto Sans" panose="020B0502040504020204" pitchFamily="34" charset="0"/>
              <a:cs typeface="Noto Sans" panose="020B0502040504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634D8-921E-4B62-A4F2-4EB1F650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1061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FINAL DE CONTRALORÍA SOCIAL    PRODEP 2025</vt:lpstr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Final</dc:title>
  <dc:subject>DIRECCIÓN GENERAL DE EDUCACIÓN SUPERIOR UNIVERSITARIA E INTERCULTURAL (DGESUI)</dc:subject>
  <dc:creator>Adrián G. García López</dc:creator>
  <cp:keywords/>
  <dc:description/>
  <cp:lastModifiedBy>Isabel González Riestra</cp:lastModifiedBy>
  <cp:revision>94</cp:revision>
  <dcterms:created xsi:type="dcterms:W3CDTF">2026-06-19T19:51:00Z</dcterms:created>
  <dcterms:modified xsi:type="dcterms:W3CDTF">2026-08-12T16:39:00Z</dcterms:modified>
</cp:coreProperties>
</file>