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8930" w14:textId="68DC251F" w:rsidR="00734CE5" w:rsidRPr="006E1B95" w:rsidRDefault="00734CE5" w:rsidP="006E1B95">
      <w:pPr>
        <w:pStyle w:val="Default"/>
        <w:spacing w:line="276" w:lineRule="auto"/>
        <w:jc w:val="center"/>
        <w:rPr>
          <w:rFonts w:ascii="Montserrat" w:hAnsi="Montserrat"/>
          <w:color w:val="auto"/>
          <w:sz w:val="20"/>
          <w:szCs w:val="20"/>
        </w:rPr>
      </w:pPr>
      <w:r w:rsidRPr="00734CE5">
        <w:rPr>
          <w:rFonts w:ascii="Montserrat" w:hAnsi="Montserrat"/>
          <w:b/>
          <w:bCs/>
          <w:color w:val="595959" w:themeColor="text1" w:themeTint="A6"/>
          <w:sz w:val="32"/>
          <w:szCs w:val="32"/>
        </w:rPr>
        <w:t>CONVOCATORIA 2021</w:t>
      </w:r>
    </w:p>
    <w:p w14:paraId="0889AB91" w14:textId="77777777" w:rsidR="00734CE5" w:rsidRPr="00734CE5" w:rsidRDefault="00734CE5" w:rsidP="00734CE5">
      <w:pPr>
        <w:spacing w:line="276" w:lineRule="auto"/>
        <w:jc w:val="center"/>
        <w:rPr>
          <w:rFonts w:ascii="Montserrat" w:hAnsi="Montserrat"/>
          <w:b/>
          <w:bCs/>
          <w:szCs w:val="21"/>
        </w:rPr>
        <w:sectPr w:rsidR="00734CE5" w:rsidRPr="00734CE5" w:rsidSect="00734CE5">
          <w:headerReference w:type="default" r:id="rId10"/>
          <w:type w:val="continuous"/>
          <w:pgSz w:w="12240" w:h="15840"/>
          <w:pgMar w:top="1702" w:right="1361" w:bottom="2410" w:left="1276" w:header="454" w:footer="737" w:gutter="0"/>
          <w:pgNumType w:start="1"/>
          <w:cols w:space="708"/>
          <w:docGrid w:linePitch="360"/>
        </w:sectPr>
      </w:pPr>
    </w:p>
    <w:p w14:paraId="6BB82093" w14:textId="77777777" w:rsidR="00734CE5" w:rsidRDefault="00734CE5" w:rsidP="00EB44BA">
      <w:pPr>
        <w:pStyle w:val="Default"/>
        <w:spacing w:line="276" w:lineRule="auto"/>
        <w:jc w:val="center"/>
        <w:rPr>
          <w:rFonts w:ascii="Montserrat" w:hAnsi="Montserrat" w:cs="Arial"/>
          <w:b/>
          <w:bCs/>
          <w:color w:val="auto"/>
        </w:rPr>
      </w:pPr>
    </w:p>
    <w:p w14:paraId="6ED8D8BD" w14:textId="377056A1" w:rsidR="00377417" w:rsidRPr="00126F27" w:rsidRDefault="00377417" w:rsidP="00EB44BA">
      <w:pPr>
        <w:pStyle w:val="Default"/>
        <w:spacing w:line="276" w:lineRule="auto"/>
        <w:jc w:val="center"/>
        <w:rPr>
          <w:rFonts w:ascii="Montserrat" w:hAnsi="Montserrat"/>
          <w:color w:val="auto"/>
        </w:rPr>
      </w:pPr>
      <w:r w:rsidRPr="00126F27">
        <w:rPr>
          <w:rFonts w:ascii="Montserrat" w:hAnsi="Montserrat" w:cs="Arial"/>
          <w:b/>
          <w:bCs/>
          <w:color w:val="auto"/>
        </w:rPr>
        <w:t>IV. Apoyo a la reincorporación de exbecarios/as PROMEP</w:t>
      </w:r>
    </w:p>
    <w:p w14:paraId="0FFFCADE" w14:textId="77777777" w:rsidR="00377417" w:rsidRPr="00126F27" w:rsidRDefault="00377417" w:rsidP="00EB44BA">
      <w:pPr>
        <w:pStyle w:val="Default"/>
        <w:spacing w:line="276" w:lineRule="auto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El objetivo principal del </w:t>
      </w:r>
      <w:r w:rsidRPr="003013D9">
        <w:rPr>
          <w:rFonts w:ascii="Montserrat" w:hAnsi="Montserrat" w:cs="Arial"/>
          <w:color w:val="auto"/>
          <w:sz w:val="20"/>
          <w:szCs w:val="20"/>
        </w:rPr>
        <w:t>Programa para el Desarrollo Profesional Docente para el tipo Superior,</w:t>
      </w: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 xml:space="preserve"> 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es profesionalizar a los/as profesores/as de tiempo completo para que alcancen las capacidades de investigación-docencia, desarrollo tecnológico e innovación y, con responsabilidad social, se articulen y consoliden en cuerpos académicos y con ello generen una nueva comunidad académica capaz de transformar su entorno. Para alcanzar este objetivo la SEP, a través de la SES, ha emprendido en el marco del Programa varias acciones enfocadas a promover a que se integren los/as profesores/as de tiempo completo en CA y con ello sustentar la formación de profesionales de buena calidad, responsables y competitivos. </w:t>
      </w:r>
    </w:p>
    <w:p w14:paraId="63165208" w14:textId="77777777" w:rsidR="00377417" w:rsidRPr="00126F27" w:rsidRDefault="00377417" w:rsidP="00EB44BA">
      <w:pPr>
        <w:pStyle w:val="Default"/>
        <w:spacing w:line="276" w:lineRule="auto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La SEP, a través de la SES, convoca a las IPES participantes del Programa a presentar solicitudes para que los/as exbecarios/as PROMEP, al reincorporarse a su institución cuenten con las condiciones básicas de trabajo que faciliten el cumplimiento eficaz de sus funciones académicas, así como apoyar el desarrollo y/o la consolidación del CA al que pertenecen conforme a las siguientes: </w:t>
      </w:r>
    </w:p>
    <w:p w14:paraId="3296872B" w14:textId="77777777" w:rsidR="003013D9" w:rsidRDefault="003013D9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</w:p>
    <w:p w14:paraId="6A55DD43" w14:textId="2297BF67" w:rsidR="00377417" w:rsidRPr="00126F27" w:rsidRDefault="00377417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 xml:space="preserve">BASES </w:t>
      </w:r>
    </w:p>
    <w:p w14:paraId="6065C6D0" w14:textId="77777777" w:rsidR="003013D9" w:rsidRDefault="003013D9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</w:p>
    <w:p w14:paraId="7B1643CE" w14:textId="53CC51AA" w:rsidR="00377417" w:rsidRPr="00126F27" w:rsidRDefault="00377417" w:rsidP="00EB44BA">
      <w:pPr>
        <w:pStyle w:val="Default"/>
        <w:spacing w:line="276" w:lineRule="auto"/>
        <w:jc w:val="both"/>
        <w:rPr>
          <w:rFonts w:ascii="Montserrat" w:hAnsi="Montserrat"/>
          <w:b/>
          <w:bCs/>
          <w:color w:val="auto"/>
          <w:sz w:val="20"/>
          <w:szCs w:val="20"/>
        </w:rPr>
      </w:pP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 xml:space="preserve">I. CARACTERÍSTICAS DE LOS/LAS PROFESORES/AS </w:t>
      </w:r>
    </w:p>
    <w:p w14:paraId="20342854" w14:textId="77777777" w:rsidR="00377417" w:rsidRPr="00126F27" w:rsidRDefault="00377417" w:rsidP="00EB44BA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>I.1.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Los/las profesores/as exbecarios/as PROMEP de tiempo completo que presenten su solicitud y que cumplan con los siguientes requisitos: </w:t>
      </w:r>
    </w:p>
    <w:p w14:paraId="0BFBE6FA" w14:textId="77777777" w:rsidR="00377417" w:rsidRPr="00126F27" w:rsidRDefault="00377417" w:rsidP="00EB44BA">
      <w:pPr>
        <w:pStyle w:val="Default"/>
        <w:spacing w:line="276" w:lineRule="auto"/>
        <w:ind w:left="1416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>a)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Haber obtenido oportunamente el grado académico para el cual fue apoyado por el Programa dentro del plazo aprobado originalmente, o bien, </w:t>
      </w:r>
    </w:p>
    <w:p w14:paraId="59D8AABC" w14:textId="77777777" w:rsidR="00377417" w:rsidRPr="00126F27" w:rsidRDefault="00377417" w:rsidP="00EB44BA">
      <w:pPr>
        <w:pStyle w:val="Default"/>
        <w:spacing w:line="276" w:lineRule="auto"/>
        <w:ind w:left="1416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>b)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Haber agotado el plazo aprobado originalmente para obtener el grado académico para el cual fue apoyado por el Programa y posteriormente haber solicitado una prórroga bajo los siguientes términos: </w:t>
      </w:r>
    </w:p>
    <w:p w14:paraId="681AC4B0" w14:textId="77777777" w:rsidR="00377417" w:rsidRPr="00126F27" w:rsidRDefault="00377417" w:rsidP="00EB44BA">
      <w:pPr>
        <w:pStyle w:val="Default"/>
        <w:spacing w:line="276" w:lineRule="auto"/>
        <w:ind w:left="2124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- Para estudios completos: seis meses para maestría y un año para doctorado, </w:t>
      </w:r>
    </w:p>
    <w:p w14:paraId="65F87E55" w14:textId="77777777" w:rsidR="00377417" w:rsidRPr="00126F27" w:rsidRDefault="00377417" w:rsidP="00EB44BA">
      <w:pPr>
        <w:pStyle w:val="Default"/>
        <w:spacing w:line="276" w:lineRule="auto"/>
        <w:ind w:left="2124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- Para un apoyo para redacción de tesis: tres meses para maestría y seis meses para doctorado, y </w:t>
      </w:r>
    </w:p>
    <w:p w14:paraId="09138063" w14:textId="4F79B7EE" w:rsidR="00377417" w:rsidRPr="00126F27" w:rsidRDefault="00377417" w:rsidP="00EB44BA">
      <w:pPr>
        <w:pStyle w:val="Default"/>
        <w:spacing w:line="276" w:lineRule="auto"/>
        <w:ind w:left="2124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>- Para quienes hubieren disfrutado de un apoyo para estudios de especialidad tecnológica: al periodo originalmente aprobado tres meses más al tiempo establecido por el programa de estudios</w:t>
      </w:r>
      <w:r w:rsidR="00126F27">
        <w:rPr>
          <w:rFonts w:ascii="Montserrat" w:hAnsi="Montserrat" w:cs="Arial"/>
          <w:color w:val="auto"/>
          <w:sz w:val="20"/>
          <w:szCs w:val="20"/>
        </w:rPr>
        <w:t>.</w:t>
      </w:r>
    </w:p>
    <w:p w14:paraId="4C3112F5" w14:textId="77777777" w:rsidR="00377417" w:rsidRPr="00126F27" w:rsidRDefault="00377417" w:rsidP="00EB44BA">
      <w:pPr>
        <w:pStyle w:val="Default"/>
        <w:spacing w:line="276" w:lineRule="auto"/>
        <w:ind w:left="1416"/>
        <w:jc w:val="both"/>
        <w:rPr>
          <w:rFonts w:ascii="Montserrat" w:hAnsi="Montserrat" w:cs="Arial"/>
          <w:color w:val="auto"/>
          <w:sz w:val="20"/>
          <w:szCs w:val="20"/>
        </w:rPr>
      </w:pP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>c)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Haberse reincorporado a su institución de adscripción a partir del 1 de marzo del año inmediato anterior a la publicación de esta convocatoria. </w:t>
      </w:r>
    </w:p>
    <w:p w14:paraId="14E50EEE" w14:textId="03C69705" w:rsidR="003013D9" w:rsidRDefault="003013D9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</w:p>
    <w:p w14:paraId="749C5D6D" w14:textId="2DB90ACC" w:rsidR="00D14C96" w:rsidRDefault="00D14C96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</w:p>
    <w:p w14:paraId="2EDFF2AD" w14:textId="606DA406" w:rsidR="00D14C96" w:rsidRDefault="00D14C96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</w:p>
    <w:p w14:paraId="693A5777" w14:textId="7E3A4F89" w:rsidR="00D14C96" w:rsidRDefault="00D14C96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</w:p>
    <w:p w14:paraId="1E0A3CC6" w14:textId="77777777" w:rsidR="00D14C96" w:rsidRDefault="00D14C96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</w:p>
    <w:p w14:paraId="11B1154D" w14:textId="3B891485" w:rsidR="00377417" w:rsidRPr="00126F27" w:rsidRDefault="00377417" w:rsidP="00EB44BA">
      <w:pPr>
        <w:pStyle w:val="Default"/>
        <w:spacing w:line="276" w:lineRule="auto"/>
        <w:jc w:val="both"/>
        <w:rPr>
          <w:rFonts w:ascii="Montserrat" w:hAnsi="Montserrat"/>
          <w:b/>
          <w:bCs/>
          <w:color w:val="auto"/>
          <w:sz w:val="20"/>
          <w:szCs w:val="20"/>
        </w:rPr>
      </w:pP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 xml:space="preserve">II. SOBRE LOS APOYOS </w:t>
      </w:r>
    </w:p>
    <w:p w14:paraId="518AEBB6" w14:textId="77777777" w:rsidR="00377417" w:rsidRPr="00126F27" w:rsidRDefault="00377417" w:rsidP="00EB44BA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>II.1.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Los apoyos para la reincorporación de exbecarios PROMEP podrán ser de tres tipos conforme lo establecen las RO en el numeral 3.4 Características de los apoyos (tipo y monto): </w:t>
      </w:r>
    </w:p>
    <w:p w14:paraId="59817C8F" w14:textId="77777777" w:rsidR="00377417" w:rsidRPr="00126F27" w:rsidRDefault="00377417" w:rsidP="00EB44BA">
      <w:pPr>
        <w:pStyle w:val="Default"/>
        <w:spacing w:line="276" w:lineRule="auto"/>
        <w:ind w:left="1416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>a)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Apoyo para elementos individuales de trabajo básicos para la labor académica. </w:t>
      </w:r>
    </w:p>
    <w:p w14:paraId="579452D0" w14:textId="77777777" w:rsidR="00377417" w:rsidRPr="00126F27" w:rsidRDefault="00377417" w:rsidP="00EB44BA">
      <w:pPr>
        <w:pStyle w:val="Default"/>
        <w:spacing w:line="276" w:lineRule="auto"/>
        <w:ind w:left="1416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>b)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Apoyo de fomento a la permanencia institucional, el cual se rige por las siguientes condiciones: </w:t>
      </w:r>
    </w:p>
    <w:p w14:paraId="7039DFBC" w14:textId="77777777" w:rsidR="00377417" w:rsidRPr="00126F27" w:rsidRDefault="00377417" w:rsidP="00EB44BA">
      <w:pPr>
        <w:pStyle w:val="Default"/>
        <w:spacing w:line="276" w:lineRule="auto"/>
        <w:ind w:left="2124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>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Se otorga una sola vez y por un plazo máximo de un año a los/as profesores/as que al momento de presentar su solicitud demuestren tener actividades de docencia, tutoría, dirección individualizada y gestión académica a partir de su fecha de incorporación o reincorporación a la institución lo cual deberá estar capturado en el SISUP. </w:t>
      </w:r>
    </w:p>
    <w:p w14:paraId="774917E5" w14:textId="77777777" w:rsidR="00377417" w:rsidRPr="00126F27" w:rsidRDefault="00377417" w:rsidP="00EB44BA">
      <w:pPr>
        <w:pStyle w:val="Default"/>
        <w:spacing w:line="276" w:lineRule="auto"/>
        <w:ind w:left="2124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>II.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Se suspenderá cuando el/la profesor/a califique, por reglamento interno de su IPES de adscripción, para concursar por la cuota compensatoria de ESDEPED o su equivalente. </w:t>
      </w:r>
    </w:p>
    <w:p w14:paraId="4A269BE9" w14:textId="77777777" w:rsidR="00377417" w:rsidRPr="00126F27" w:rsidRDefault="00377417" w:rsidP="00EB44BA">
      <w:pPr>
        <w:pStyle w:val="Default"/>
        <w:spacing w:line="276" w:lineRule="auto"/>
        <w:ind w:left="2124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>III.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Los/las nuevos/as PTC o exbecarios/as PROMEP que se encuentren dentro del programa institucional de cuota compensatoria de ESDEPED o su equivalente no podrán beneficiarse de este apoyo por parte del Programa. </w:t>
      </w:r>
    </w:p>
    <w:p w14:paraId="46380CE4" w14:textId="77777777" w:rsidR="00377417" w:rsidRPr="00126F27" w:rsidRDefault="00377417" w:rsidP="00EB44BA">
      <w:pPr>
        <w:pStyle w:val="Default"/>
        <w:spacing w:line="276" w:lineRule="auto"/>
        <w:ind w:left="1416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b/>
          <w:bCs/>
          <w:color w:val="auto"/>
          <w:sz w:val="20"/>
          <w:szCs w:val="20"/>
        </w:rPr>
        <w:t>c)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Fomento a la generación o aplicación innovadora del conocimiento o fomento a la investigación aplicada o desarrollo tecnológico se otorga sólo a los/as profesores/as con grado de doctorado de las UPE, UPEA, Instituciones Federales Públicas de Educación Superior, UPT, IT, ITD, escuelas normales públicas o UIC y a los/as profesores/as con grado de doctorado o de maestría o especialidad tecnológica de las UT que de manera obligatoria presentan un proyecto de investigación. En el caso de que el proyecto de fomento a la generación o aplicación innovadora del conocimiento o de fomento a la investigación aplicada o desarrollo tecnológico no se apruebe durante el proceso de evaluación, ninguno de los rubros solicitados por el nuevo PTC o exbecario PROMEP se apoyará. </w:t>
      </w:r>
    </w:p>
    <w:p w14:paraId="6F535919" w14:textId="77777777" w:rsidR="00377417" w:rsidRPr="00126F27" w:rsidRDefault="00377417" w:rsidP="00EB44BA">
      <w:pPr>
        <w:pStyle w:val="Default"/>
        <w:spacing w:line="276" w:lineRule="auto"/>
        <w:ind w:left="1416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Las condiciones de apoyo para estos proyectos son: </w:t>
      </w:r>
    </w:p>
    <w:p w14:paraId="6B8DFEDA" w14:textId="77777777" w:rsidR="00377417" w:rsidRPr="00126F27" w:rsidRDefault="00377417" w:rsidP="00EB44BA">
      <w:pPr>
        <w:pStyle w:val="Default"/>
        <w:spacing w:line="276" w:lineRule="auto"/>
        <w:ind w:left="2124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a)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El proyecto presentado por el nuevo PTC o exbecario PROMEP y del cual será responsable debe ajustarse al contenido y formato que se especifica en el SISUP. En caso de los proyectos de ciencia aplicada se dará prioridad a los que se encuentren enmarcados en los ejes temáticos de los Programas Nacionales Estratégicos (PRONACES) del CONACYT. </w:t>
      </w:r>
    </w:p>
    <w:p w14:paraId="4176EB41" w14:textId="77777777" w:rsidR="00377417" w:rsidRPr="00126F27" w:rsidRDefault="00377417" w:rsidP="00EB44BA">
      <w:pPr>
        <w:pStyle w:val="Default"/>
        <w:spacing w:line="276" w:lineRule="auto"/>
        <w:ind w:left="2124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b)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Se apoya por un año para cubrir los siguientes rubros: </w:t>
      </w:r>
    </w:p>
    <w:p w14:paraId="0A2BF269" w14:textId="77777777" w:rsidR="00377417" w:rsidRPr="00126F27" w:rsidRDefault="00377417" w:rsidP="00EB44BA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Adquisición de materiales y consumibles; </w:t>
      </w:r>
    </w:p>
    <w:p w14:paraId="52FF58CC" w14:textId="77777777" w:rsidR="00377417" w:rsidRPr="00126F27" w:rsidRDefault="00377417" w:rsidP="00EB44BA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ii.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Adquisición de equipo de cómputo especializado o de laboratorio y experimentación; </w:t>
      </w:r>
    </w:p>
    <w:p w14:paraId="28FE5BDC" w14:textId="77777777" w:rsidR="00377417" w:rsidRPr="00126F27" w:rsidRDefault="00377417" w:rsidP="00EB44BA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iii.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Gastos de trabajo de campo para el responsable del proyecto; </w:t>
      </w:r>
    </w:p>
    <w:p w14:paraId="4116C0EB" w14:textId="77777777" w:rsidR="00377417" w:rsidRPr="00126F27" w:rsidRDefault="00377417" w:rsidP="00EB44BA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lastRenderedPageBreak/>
        <w:t>iv.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Asistencia del responsable del proyecto a reuniones académicas de nivel nacional o internacional para la presentación de trabajos o estancias cortas del responsable del proyecto en instituciones de alto nivel para realizar actividades relacionadas con el proyecto. El monto dedicado entre estos dos rubros no debe exceder de $35,000.00 (Treinta y cinco mil pesos 00/100 M.N.) para los/las profesores/as con grado de doctor y de $30,000.00 (Treinta mil pesos 00/100 M.N.) para los/las profesores/as con el grado de maestría o especialidad tecnológica. </w:t>
      </w:r>
    </w:p>
    <w:p w14:paraId="20F3C17A" w14:textId="77777777" w:rsidR="00377417" w:rsidRPr="00126F27" w:rsidRDefault="00377417" w:rsidP="00EB44BA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v. Los recursos de este apoyo no podrán utilizarse para cubrir gastos de publicación de libros o artículos ni para el pago de salarios u honorarios o servicios para la realización de las actividades del proyecto. </w:t>
      </w:r>
    </w:p>
    <w:p w14:paraId="42523173" w14:textId="77777777" w:rsidR="00377417" w:rsidRPr="00126F27" w:rsidRDefault="00377417" w:rsidP="00EB44BA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vi.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Los/as profesores/as beneficiados/as en convocatorias anteriores de Apoyo a la incorporación de nuevos/as profesores/as de tiempo completo con el grado de maestría y que no hayan recibido el apoyo del fomento a la generación o aplicación innovadora del conocimiento o fomento a la investigación aplicada o desarrollo tecnológico que hayan concluido en tiempo y forma con el compromiso establecido con el Programa y que hayan obtenido el doctorado dentro de los tres años anteriores a la presentación de la solicitud, podrán concursar por este apoyo. </w:t>
      </w:r>
    </w:p>
    <w:p w14:paraId="663FD13B" w14:textId="77777777" w:rsidR="00377417" w:rsidRPr="00126F27" w:rsidRDefault="00377417" w:rsidP="00EB44BA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Los montos asignados a cada uno de los apoyos antes referidos serán los señalados en el en el numeral 3.4 Características de los apoyos (tipo y monto) para el tipo superior y se asignarán una vez que se valoren los elementos antes señalados. </w:t>
      </w:r>
    </w:p>
    <w:p w14:paraId="394AB713" w14:textId="77777777" w:rsidR="00377417" w:rsidRPr="00126F27" w:rsidRDefault="00377417" w:rsidP="00EB44BA">
      <w:pPr>
        <w:pStyle w:val="Default"/>
        <w:spacing w:line="276" w:lineRule="auto"/>
        <w:ind w:left="2832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vii.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Las IPES podrán solicitar la revisión del expediente de profesores(as) que no cumplen con el periodo de reincorporación señalado, para participar en la convocatoria como casos especiales. </w:t>
      </w:r>
    </w:p>
    <w:p w14:paraId="025E2A4C" w14:textId="77777777" w:rsidR="00377417" w:rsidRPr="00126F27" w:rsidRDefault="00377417" w:rsidP="00EB44BA">
      <w:pPr>
        <w:pStyle w:val="Default"/>
        <w:spacing w:line="276" w:lineRule="auto"/>
        <w:ind w:left="708"/>
        <w:jc w:val="both"/>
        <w:rPr>
          <w:rFonts w:ascii="Montserrat" w:hAnsi="Montserrat" w:cs="Arial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II.2.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Las características de los/as aspirantes según grado académico, conceptos, montos y periodo de cada rubro se detallan en la normativa disponible en </w:t>
      </w:r>
      <w:hyperlink r:id="rId11" w:history="1">
        <w:r w:rsidRPr="00126F27">
          <w:rPr>
            <w:rStyle w:val="Hyperlink"/>
            <w:rFonts w:ascii="Montserrat" w:hAnsi="Montserrat" w:cs="Arial"/>
            <w:sz w:val="20"/>
            <w:szCs w:val="20"/>
          </w:rPr>
          <w:t>https://dgesui.ses.sep.gob.mx/programas/programa-para-el-desarrollo-profesional-docente-para-el-tipo-superior-prodep</w:t>
        </w:r>
      </w:hyperlink>
      <w:r w:rsidRPr="00126F27">
        <w:rPr>
          <w:rFonts w:ascii="Montserrat" w:hAnsi="Montserrat" w:cs="Arial"/>
          <w:color w:val="auto"/>
          <w:sz w:val="20"/>
          <w:szCs w:val="20"/>
        </w:rPr>
        <w:t xml:space="preserve">.  </w:t>
      </w:r>
    </w:p>
    <w:p w14:paraId="21A9EE3D" w14:textId="77777777" w:rsidR="003013D9" w:rsidRDefault="003013D9" w:rsidP="00EB44BA">
      <w:pPr>
        <w:pStyle w:val="Default"/>
        <w:spacing w:line="276" w:lineRule="auto"/>
        <w:jc w:val="both"/>
        <w:rPr>
          <w:rFonts w:ascii="Montserrat" w:hAnsi="Montserrat" w:cs="Arial"/>
          <w:b/>
          <w:bCs/>
          <w:color w:val="auto"/>
          <w:sz w:val="20"/>
          <w:szCs w:val="20"/>
        </w:rPr>
      </w:pPr>
    </w:p>
    <w:p w14:paraId="718969A4" w14:textId="327A876B" w:rsidR="00377417" w:rsidRPr="00EB44BA" w:rsidRDefault="00377417" w:rsidP="00EB44BA">
      <w:pPr>
        <w:pStyle w:val="Default"/>
        <w:spacing w:line="276" w:lineRule="auto"/>
        <w:jc w:val="both"/>
        <w:rPr>
          <w:rFonts w:ascii="Montserrat" w:hAnsi="Montserrat"/>
          <w:b/>
          <w:bCs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 xml:space="preserve">III. PROCEDIMIENTO DE SOLICITUD Y EVALUACIÓN </w:t>
      </w:r>
    </w:p>
    <w:p w14:paraId="3FA6B616" w14:textId="77777777" w:rsidR="00377417" w:rsidRPr="00126F27" w:rsidRDefault="00377417" w:rsidP="00EB44BA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III.1.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Los términos de la presente convocatoria se basan en la normativa vigente. </w:t>
      </w:r>
    </w:p>
    <w:p w14:paraId="3B5F4C77" w14:textId="057AF7B8" w:rsidR="00980DAF" w:rsidRDefault="00377417" w:rsidP="00EB44BA">
      <w:pPr>
        <w:pStyle w:val="Default"/>
        <w:spacing w:line="276" w:lineRule="auto"/>
        <w:ind w:left="708"/>
        <w:jc w:val="both"/>
        <w:rPr>
          <w:rFonts w:ascii="Montserrat" w:hAnsi="Montserrat" w:cs="Arial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III.2.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Los formatos de solicitud para participar en ésta y en todas las convocatorias de carácter individual emitidas por el Programa se encuentran disponibles en las páginas </w:t>
      </w:r>
      <w:hyperlink r:id="rId12" w:history="1">
        <w:r w:rsidR="00980DAF" w:rsidRPr="00085676">
          <w:rPr>
            <w:rStyle w:val="Hyperlink"/>
            <w:rFonts w:ascii="Montserrat" w:hAnsi="Montserrat" w:cs="Arial"/>
            <w:sz w:val="20"/>
            <w:szCs w:val="20"/>
          </w:rPr>
          <w:t>https://promep.sep.gob.mx/solicitudesv3/</w:t>
        </w:r>
      </w:hyperlink>
      <w:r w:rsidR="00980DAF">
        <w:rPr>
          <w:rFonts w:ascii="Montserrat" w:hAnsi="Montserrat" w:cs="Arial"/>
          <w:color w:val="auto"/>
          <w:sz w:val="20"/>
          <w:szCs w:val="20"/>
        </w:rPr>
        <w:t xml:space="preserve"> </w:t>
      </w:r>
      <w:r w:rsidR="00980DAF" w:rsidRPr="00980DAF">
        <w:rPr>
          <w:rFonts w:ascii="Montserrat" w:hAnsi="Montserrat" w:cs="Arial"/>
          <w:color w:val="auto"/>
          <w:sz w:val="20"/>
          <w:szCs w:val="20"/>
        </w:rPr>
        <w:t xml:space="preserve">y </w:t>
      </w:r>
      <w:hyperlink r:id="rId13" w:history="1">
        <w:r w:rsidR="00980DAF" w:rsidRPr="00085676">
          <w:rPr>
            <w:rStyle w:val="Hyperlink"/>
            <w:rFonts w:ascii="Montserrat" w:hAnsi="Montserrat" w:cs="Arial"/>
            <w:sz w:val="20"/>
            <w:szCs w:val="20"/>
          </w:rPr>
          <w:t>http://promepca.sep.gob.mx/solicitudesv3/</w:t>
        </w:r>
      </w:hyperlink>
      <w:r w:rsidR="00980DAF" w:rsidRPr="00980DAF">
        <w:rPr>
          <w:rFonts w:ascii="Montserrat" w:hAnsi="Montserrat" w:cs="Arial"/>
          <w:color w:val="auto"/>
          <w:sz w:val="20"/>
          <w:szCs w:val="20"/>
        </w:rPr>
        <w:t>.</w:t>
      </w:r>
    </w:p>
    <w:p w14:paraId="79A43DFC" w14:textId="1FD14C0D" w:rsidR="00377417" w:rsidRPr="00126F27" w:rsidRDefault="00377417" w:rsidP="00EB44BA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El/La candidato/a deberá llenar su solicitud completa en formato electrónico. </w:t>
      </w:r>
    </w:p>
    <w:p w14:paraId="2CEADE24" w14:textId="77777777" w:rsidR="00377417" w:rsidRPr="00126F27" w:rsidRDefault="00377417" w:rsidP="00EB44BA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lastRenderedPageBreak/>
        <w:t>III.3.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La fecha de apertura para el llenado de las solicitudes en línea será el </w:t>
      </w:r>
      <w:r w:rsidRPr="00863238">
        <w:rPr>
          <w:rFonts w:ascii="Montserrat" w:hAnsi="Montserrat" w:cs="Arial"/>
          <w:b/>
          <w:bCs/>
          <w:color w:val="auto"/>
          <w:sz w:val="20"/>
          <w:szCs w:val="20"/>
        </w:rPr>
        <w:t>28 de junio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de 2021 mientras que la fecha de cierre del sistema será el </w:t>
      </w:r>
      <w:r w:rsidRPr="00863238">
        <w:rPr>
          <w:rFonts w:ascii="Montserrat" w:hAnsi="Montserrat" w:cs="Arial"/>
          <w:b/>
          <w:bCs/>
          <w:color w:val="auto"/>
          <w:sz w:val="20"/>
          <w:szCs w:val="20"/>
        </w:rPr>
        <w:t>09 de julio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del presente. </w:t>
      </w:r>
    </w:p>
    <w:p w14:paraId="4958CCA4" w14:textId="77777777" w:rsidR="00377417" w:rsidRPr="00126F27" w:rsidRDefault="00377417" w:rsidP="00EB44BA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III.4.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La IPES por conducto del RIP entregarán en las oficinas del Programa el oficio de presentación de las solicitudes y una relación de éstas acompañadas de los documentos que se mencionan en la normativa vigente. </w:t>
      </w:r>
    </w:p>
    <w:p w14:paraId="6EAF86F1" w14:textId="77777777" w:rsidR="00377417" w:rsidRPr="00126F27" w:rsidRDefault="00377417" w:rsidP="00EB44BA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III.5.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El otorgamiento de los apoyos estará en función del presupuesto aprobado. </w:t>
      </w:r>
    </w:p>
    <w:p w14:paraId="5ED8C3CF" w14:textId="77777777" w:rsidR="00377417" w:rsidRPr="00126F27" w:rsidRDefault="00377417" w:rsidP="00EB44BA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III.6.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El Programa informará a las instituciones sobre los dictámenes a las solicitudes 90 días naturales después del cierre de la semana de recepción correspondiente. En caso de rechazo se indicarán las razones. </w:t>
      </w:r>
    </w:p>
    <w:p w14:paraId="3CDCCA92" w14:textId="77777777" w:rsidR="00377417" w:rsidRPr="00126F27" w:rsidRDefault="00377417" w:rsidP="00EB44BA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III.7.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La evaluación y selección de los/as beneficiarios/as se hará con el apoyo de comités de pares, de las áreas del conocimiento de los concursantes, convocados para tal efecto por la SES. Los/as expertos/as integrantes de los comités de pares serán seleccionados/as preferentemente entre los académicos de alto nivel y con probada experiencia en evaluación del SNI, de la Secretaría de Cultura y del CONACYT. </w:t>
      </w:r>
    </w:p>
    <w:p w14:paraId="7D540BDE" w14:textId="77777777" w:rsidR="00377417" w:rsidRPr="00126F27" w:rsidRDefault="00377417" w:rsidP="00EB44BA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III.8.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En caso de que se presenten impugnaciones a las notificaciones señaladas en el punto anterior, éstas deberán presentarse a la DSA dentro de los 30 días naturales siguientes a la fecha de notificación de los resultados a la institución y se atenderán conforme a lo establecido en la Ley Federal de Procedimiento Administrativo para dicho recurso y conforme a lo establecido en la normativa vigente. </w:t>
      </w:r>
    </w:p>
    <w:p w14:paraId="1C5832C5" w14:textId="77777777" w:rsidR="00377417" w:rsidRPr="00126F27" w:rsidRDefault="00377417" w:rsidP="00EB44BA">
      <w:pPr>
        <w:pStyle w:val="Default"/>
        <w:spacing w:line="276" w:lineRule="auto"/>
        <w:ind w:left="708"/>
        <w:jc w:val="both"/>
        <w:rPr>
          <w:rFonts w:ascii="Montserrat" w:hAnsi="Montserrat"/>
          <w:color w:val="auto"/>
          <w:sz w:val="20"/>
          <w:szCs w:val="20"/>
        </w:rPr>
      </w:pPr>
      <w:r w:rsidRPr="00EB44BA">
        <w:rPr>
          <w:rFonts w:ascii="Montserrat" w:hAnsi="Montserrat" w:cs="Arial"/>
          <w:b/>
          <w:bCs/>
          <w:color w:val="auto"/>
          <w:sz w:val="20"/>
          <w:szCs w:val="20"/>
        </w:rPr>
        <w:t>III.9.</w:t>
      </w:r>
      <w:r w:rsidRPr="00126F27">
        <w:rPr>
          <w:rFonts w:ascii="Montserrat" w:hAnsi="Montserrat" w:cs="Arial"/>
          <w:color w:val="auto"/>
          <w:sz w:val="20"/>
          <w:szCs w:val="20"/>
        </w:rPr>
        <w:t xml:space="preserve"> Los aspectos no contemplados en esta convocatoria serán resueltos por el Programa de conformidad con lo estipulado en la normativa vigente. </w:t>
      </w:r>
    </w:p>
    <w:p w14:paraId="5FFB0092" w14:textId="77777777" w:rsidR="00D14C96" w:rsidRDefault="00D14C96" w:rsidP="002E3C97">
      <w:pPr>
        <w:pStyle w:val="Default"/>
        <w:spacing w:line="276" w:lineRule="auto"/>
        <w:jc w:val="both"/>
        <w:rPr>
          <w:rFonts w:ascii="Montserrat" w:hAnsi="Montserrat" w:cs="Arial"/>
          <w:color w:val="auto"/>
          <w:sz w:val="20"/>
          <w:szCs w:val="20"/>
        </w:rPr>
      </w:pPr>
    </w:p>
    <w:p w14:paraId="440730E0" w14:textId="28445198" w:rsidR="002E3C97" w:rsidRDefault="00377417" w:rsidP="002E3C97">
      <w:pPr>
        <w:pStyle w:val="Default"/>
        <w:spacing w:line="276" w:lineRule="auto"/>
        <w:jc w:val="both"/>
        <w:rPr>
          <w:rFonts w:ascii="Montserrat" w:hAnsi="Montserrat" w:cs="Arial"/>
          <w:sz w:val="20"/>
          <w:szCs w:val="20"/>
        </w:rPr>
      </w:pPr>
      <w:r w:rsidRPr="00126F27">
        <w:rPr>
          <w:rFonts w:ascii="Montserrat" w:hAnsi="Montserrat" w:cs="Arial"/>
          <w:color w:val="auto"/>
          <w:sz w:val="20"/>
          <w:szCs w:val="20"/>
        </w:rPr>
        <w:t xml:space="preserve">Esta Convocatoria entrará en vigor al día siguiente de la publicación de las RO en el DOF. </w:t>
      </w:r>
    </w:p>
    <w:p w14:paraId="65CEEB53" w14:textId="77777777" w:rsidR="002E3C97" w:rsidRDefault="002E3C97" w:rsidP="002E3C97">
      <w:pPr>
        <w:pStyle w:val="Default"/>
        <w:spacing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212BF5F3" w14:textId="2901AE18" w:rsidR="00377417" w:rsidRPr="00E213FE" w:rsidRDefault="002E3C97" w:rsidP="002E3C97">
      <w:pPr>
        <w:pStyle w:val="Default"/>
        <w:spacing w:line="276" w:lineRule="auto"/>
        <w:jc w:val="both"/>
        <w:rPr>
          <w:rFonts w:ascii="Montserrat" w:hAnsi="Montserrat"/>
          <w:color w:val="auto"/>
          <w:sz w:val="20"/>
          <w:szCs w:val="20"/>
        </w:rPr>
      </w:pPr>
      <w:r w:rsidRPr="00B154DA">
        <w:rPr>
          <w:rFonts w:ascii="Montserrat" w:hAnsi="Montserrat" w:cs="Arial"/>
          <w:b/>
          <w:bCs/>
          <w:color w:val="auto"/>
          <w:sz w:val="20"/>
          <w:szCs w:val="20"/>
        </w:rPr>
        <w:t>Fuente</w:t>
      </w:r>
      <w:r>
        <w:rPr>
          <w:rFonts w:ascii="Montserrat" w:hAnsi="Montserrat" w:cs="Arial"/>
          <w:color w:val="auto"/>
          <w:sz w:val="20"/>
          <w:szCs w:val="20"/>
        </w:rPr>
        <w:t xml:space="preserve">: </w:t>
      </w:r>
      <w:r w:rsidRPr="00FF08D2">
        <w:rPr>
          <w:rFonts w:ascii="Montserrat" w:hAnsi="Montserrat" w:cs="Arial"/>
          <w:color w:val="auto"/>
          <w:sz w:val="20"/>
          <w:szCs w:val="20"/>
        </w:rPr>
        <w:t>https://www.dof.gob.mx/nota_detalle.php?codigo=5620959&amp;fecha=11/06/2021</w:t>
      </w:r>
      <w:r w:rsidR="00377417" w:rsidRPr="00126F27">
        <w:rPr>
          <w:rFonts w:ascii="Montserrat" w:hAnsi="Montserrat" w:cs="Arial"/>
          <w:color w:val="auto"/>
          <w:sz w:val="20"/>
          <w:szCs w:val="20"/>
        </w:rPr>
        <w:t xml:space="preserve"> </w:t>
      </w:r>
    </w:p>
    <w:sectPr w:rsidR="00377417" w:rsidRPr="00E213FE" w:rsidSect="00A827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702" w:right="1361" w:bottom="2410" w:left="1276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53B01" w14:textId="77777777" w:rsidR="00171A38" w:rsidRDefault="00171A38" w:rsidP="009D2B83">
      <w:r>
        <w:separator/>
      </w:r>
    </w:p>
  </w:endnote>
  <w:endnote w:type="continuationSeparator" w:id="0">
    <w:p w14:paraId="6A4FC813" w14:textId="77777777" w:rsidR="00171A38" w:rsidRDefault="00171A38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ekaSans-Light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﷽﷽﷽﷽﷽﷽﷽﷽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﷽﷽﷽﷽﷽﷽﷽﷽at ExtraBold"/>
    <w:panose1 w:val="00000900000000000000"/>
    <w:charset w:val="4D"/>
    <w:family w:val="auto"/>
    <w:notTrueType/>
    <w:pitch w:val="variable"/>
    <w:sig w:usb0="20000007" w:usb1="00000001" w:usb2="00000000" w:usb3="00000000" w:csb0="00000193" w:csb1="00000000"/>
  </w:font>
  <w:font w:name="Montserrat SemiBold">
    <w:altName w:val="﷽﷽﷽﷽﷽﷽﷽﷽at SemiBold"/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Montserrat Light">
    <w:altName w:val="﷽﷽﷽﷽﷽﷽﷽﷽at Light"/>
    <w:panose1 w:val="000004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BE95E" w14:textId="77777777" w:rsidR="00B66BE5" w:rsidRDefault="00B66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5EE90" w14:textId="784C757E" w:rsidR="00CA4377" w:rsidRPr="005C3F62" w:rsidRDefault="00B74B0E" w:rsidP="00CA4377">
    <w:pPr>
      <w:rPr>
        <w:rFonts w:ascii="Montserrat" w:hAnsi="Montserrat"/>
        <w:sz w:val="16"/>
        <w:szCs w:val="14"/>
      </w:rPr>
    </w:pPr>
    <w:r>
      <w:rPr>
        <w:rFonts w:ascii="Montserrat SemiBold" w:hAnsi="Montserrat SemiBold"/>
        <w:b/>
        <w:noProof/>
        <w:color w:val="C39852"/>
        <w:sz w:val="15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4B8A9D" wp14:editId="601165CD">
              <wp:simplePos x="0" y="0"/>
              <wp:positionH relativeFrom="column">
                <wp:posOffset>-810260</wp:posOffset>
              </wp:positionH>
              <wp:positionV relativeFrom="paragraph">
                <wp:posOffset>-884555</wp:posOffset>
              </wp:positionV>
              <wp:extent cx="6048375" cy="4095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7B4F3A" w14:textId="77777777" w:rsidR="00B74B0E" w:rsidRPr="001509A5" w:rsidRDefault="00B74B0E" w:rsidP="00B74B0E">
                          <w:pPr>
                            <w:jc w:val="center"/>
                            <w:rPr>
                              <w:rFonts w:ascii="Montserrat" w:hAnsi="Montserrat"/>
                              <w:color w:val="B38E5D"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ascii="Montserrat Light" w:hAnsi="Montserrat Light"/>
                              <w:i/>
                              <w:iCs/>
                              <w:sz w:val="16"/>
                              <w:szCs w:val="16"/>
                            </w:rPr>
                            <w:t>“</w:t>
                          </w:r>
                          <w:r w:rsidRPr="00F4799A">
                            <w:rPr>
                              <w:rFonts w:ascii="Montserrat Light" w:hAnsi="Montserrat Light"/>
                              <w:i/>
                              <w:iCs/>
                              <w:sz w:val="16"/>
                              <w:szCs w:val="16"/>
                            </w:rPr>
                            <w:t>Este programa es público, ajeno a cualquier partido político. Queda prohibido el uso para fines distintos a los establecidos en el programa</w:t>
                          </w:r>
                          <w:r w:rsidRPr="00BF159A">
                            <w:rPr>
                              <w:rFonts w:ascii="Montserrat Light" w:hAnsi="Montserrat Light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Montserrat Light" w:hAnsi="Montserrat Light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F4B8A9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0" type="#_x0000_t202" style="position:absolute;margin-left:-63.8pt;margin-top:-69.65pt;width:476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" filled="f" stroked="f" strokeweight=".5pt">
              <v:textbox>
                <w:txbxContent>
                  <w:p w14:paraId="167B4F3A" w14:textId="77777777" w:rsidR="00B74B0E" w:rsidRPr="001509A5" w:rsidRDefault="00B74B0E" w:rsidP="00B74B0E">
                    <w:pPr>
                      <w:jc w:val="center"/>
                      <w:rPr>
                        <w:rFonts w:ascii="Montserrat" w:hAnsi="Montserrat"/>
                        <w:color w:val="B38E5D"/>
                        <w:sz w:val="16"/>
                        <w:szCs w:val="15"/>
                      </w:rPr>
                    </w:pPr>
                    <w:r>
                      <w:rPr>
                        <w:rFonts w:ascii="Montserrat Light" w:hAnsi="Montserrat Light"/>
                        <w:i/>
                        <w:iCs/>
                        <w:sz w:val="16"/>
                        <w:szCs w:val="16"/>
                      </w:rPr>
                      <w:t>“</w:t>
                    </w:r>
                    <w:r w:rsidRPr="00F4799A">
                      <w:rPr>
                        <w:rFonts w:ascii="Montserrat Light" w:hAnsi="Montserrat Light"/>
                        <w:i/>
                        <w:iCs/>
                        <w:sz w:val="16"/>
                        <w:szCs w:val="16"/>
                      </w:rPr>
                      <w:t>Este programa es público, ajeno a cualquier partido político. Queda prohibido el uso para fines distintos a los establecidos en el programa</w:t>
                    </w:r>
                    <w:r w:rsidRPr="00BF159A">
                      <w:rPr>
                        <w:rFonts w:ascii="Montserrat Light" w:hAnsi="Montserrat Light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Montserrat Light" w:hAnsi="Montserrat Light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9654C9" w:rsidRPr="005C3F62">
      <w:rPr>
        <w:rFonts w:ascii="Montserrat" w:hAnsi="Montserrat"/>
        <w:sz w:val="16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EBCC6" w14:textId="77777777" w:rsidR="00B66BE5" w:rsidRDefault="00B66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0B2A" w14:textId="77777777" w:rsidR="00171A38" w:rsidRDefault="00171A38" w:rsidP="009D2B83">
      <w:r>
        <w:separator/>
      </w:r>
    </w:p>
  </w:footnote>
  <w:footnote w:type="continuationSeparator" w:id="0">
    <w:p w14:paraId="77CEF46A" w14:textId="77777777" w:rsidR="00171A38" w:rsidRDefault="00171A38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D131" w14:textId="77777777" w:rsidR="00734CE5" w:rsidRPr="00B74B0E" w:rsidRDefault="00734CE5" w:rsidP="00B74B0E">
    <w:pPr>
      <w:rPr>
        <w:rFonts w:ascii="Montserrat" w:hAnsi="Montserrat"/>
        <w:color w:val="B38E5D"/>
        <w:sz w:val="16"/>
        <w:szCs w:val="15"/>
      </w:rPr>
    </w:pPr>
    <w:r>
      <w:rPr>
        <w:rFonts w:ascii="Montserrat ExtraBold" w:hAnsi="Montserrat ExtraBold"/>
        <w:b/>
        <w:noProof/>
        <w:sz w:val="18"/>
        <w:szCs w:val="18"/>
        <w:lang w:val="en-US"/>
      </w:rPr>
      <w:drawing>
        <wp:anchor distT="0" distB="0" distL="114300" distR="114300" simplePos="0" relativeHeight="251984896" behindDoc="1" locked="0" layoutInCell="1" allowOverlap="1" wp14:anchorId="0A329077" wp14:editId="50DCD9DD">
          <wp:simplePos x="0" y="0"/>
          <wp:positionH relativeFrom="column">
            <wp:posOffset>-810260</wp:posOffset>
          </wp:positionH>
          <wp:positionV relativeFrom="paragraph">
            <wp:posOffset>-707390</wp:posOffset>
          </wp:positionV>
          <wp:extent cx="7808595" cy="10591800"/>
          <wp:effectExtent l="0" t="0" r="0" b="0"/>
          <wp:wrapNone/>
          <wp:docPr id="215" name="Imagen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95" cy="1059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941A1" w14:textId="77777777" w:rsidR="00734CE5" w:rsidRPr="004318BC" w:rsidRDefault="00734CE5" w:rsidP="00493615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noProof/>
        <w:sz w:val="18"/>
        <w:szCs w:val="18"/>
      </w:rPr>
      <w:t>Subsecretaría de Educación Superior</w:t>
    </w:r>
  </w:p>
  <w:p w14:paraId="3027AF02" w14:textId="77777777" w:rsidR="00734CE5" w:rsidRPr="00B730B8" w:rsidRDefault="00734CE5" w:rsidP="00683F35">
    <w:pPr>
      <w:tabs>
        <w:tab w:val="left" w:pos="3054"/>
        <w:tab w:val="right" w:pos="9972"/>
      </w:tabs>
      <w:rPr>
        <w:rFonts w:ascii="Montserrat" w:hAnsi="Montserrat"/>
        <w:b/>
        <w:sz w:val="14"/>
        <w:szCs w:val="14"/>
      </w:rPr>
    </w:pPr>
    <w:r w:rsidRPr="0035375B">
      <w:rPr>
        <w:rFonts w:ascii="Montserrat" w:hAnsi="Montserrat"/>
        <w:b/>
        <w:sz w:val="13"/>
        <w:szCs w:val="13"/>
      </w:rPr>
      <w:tab/>
    </w:r>
    <w:r w:rsidRPr="0035375B">
      <w:rPr>
        <w:rFonts w:ascii="Montserrat" w:hAnsi="Montserrat"/>
        <w:b/>
        <w:sz w:val="13"/>
        <w:szCs w:val="13"/>
      </w:rPr>
      <w:tab/>
    </w:r>
    <w:r w:rsidRPr="00B730B8">
      <w:rPr>
        <w:rFonts w:ascii="Montserrat" w:hAnsi="Montserrat"/>
        <w:b/>
        <w:sz w:val="14"/>
        <w:szCs w:val="14"/>
      </w:rPr>
      <w:t>Dirección General de Educación Superior</w:t>
    </w:r>
  </w:p>
  <w:p w14:paraId="7D719A51" w14:textId="77777777" w:rsidR="00734CE5" w:rsidRDefault="00734CE5" w:rsidP="00386F34">
    <w:pPr>
      <w:tabs>
        <w:tab w:val="left" w:pos="3054"/>
        <w:tab w:val="right" w:pos="9972"/>
      </w:tabs>
      <w:jc w:val="right"/>
      <w:rPr>
        <w:rFonts w:ascii="Montserrat" w:hAnsi="Montserrat"/>
        <w:b/>
        <w:sz w:val="14"/>
        <w:szCs w:val="14"/>
      </w:rPr>
    </w:pPr>
    <w:r w:rsidRPr="00B730B8">
      <w:rPr>
        <w:rFonts w:ascii="Montserrat" w:hAnsi="Montserrat"/>
        <w:b/>
        <w:sz w:val="14"/>
        <w:szCs w:val="14"/>
      </w:rPr>
      <w:t>Universitaria e Intercultural</w:t>
    </w:r>
  </w:p>
  <w:p w14:paraId="0A3A1748" w14:textId="77777777" w:rsidR="00734CE5" w:rsidRPr="00B730B8" w:rsidRDefault="00734CE5" w:rsidP="00386F34">
    <w:pPr>
      <w:tabs>
        <w:tab w:val="left" w:pos="3054"/>
        <w:tab w:val="right" w:pos="9972"/>
      </w:tabs>
      <w:jc w:val="right"/>
      <w:rPr>
        <w:rFonts w:ascii="Montserrat" w:hAnsi="Montserrat"/>
        <w:b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728F" w14:textId="77777777" w:rsidR="00B66BE5" w:rsidRDefault="00B66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22B5" w14:textId="77777777" w:rsidR="00845CE9" w:rsidRPr="00B74B0E" w:rsidRDefault="004037CB" w:rsidP="00B74B0E">
    <w:pPr>
      <w:rPr>
        <w:rFonts w:ascii="Montserrat" w:hAnsi="Montserrat"/>
        <w:color w:val="B38E5D"/>
        <w:sz w:val="16"/>
        <w:szCs w:val="15"/>
      </w:rPr>
    </w:pPr>
    <w:r>
      <w:rPr>
        <w:rFonts w:ascii="Montserrat ExtraBold" w:hAnsi="Montserrat ExtraBold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7A06FA63" wp14:editId="78C0961B">
          <wp:simplePos x="0" y="0"/>
          <wp:positionH relativeFrom="column">
            <wp:posOffset>-810260</wp:posOffset>
          </wp:positionH>
          <wp:positionV relativeFrom="paragraph">
            <wp:posOffset>-707390</wp:posOffset>
          </wp:positionV>
          <wp:extent cx="7808595" cy="105918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95" cy="1059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F3E64" w14:textId="77777777" w:rsidR="00493615" w:rsidRPr="004318BC" w:rsidRDefault="00683F35" w:rsidP="00493615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noProof/>
        <w:sz w:val="18"/>
        <w:szCs w:val="18"/>
      </w:rPr>
      <w:t>Subsecretaría de Educación Superior</w:t>
    </w:r>
  </w:p>
  <w:p w14:paraId="0029447E" w14:textId="77777777" w:rsidR="00386F34" w:rsidRPr="00B730B8" w:rsidRDefault="00493615" w:rsidP="00683F35">
    <w:pPr>
      <w:tabs>
        <w:tab w:val="left" w:pos="3054"/>
        <w:tab w:val="right" w:pos="9972"/>
      </w:tabs>
      <w:rPr>
        <w:rFonts w:ascii="Montserrat" w:hAnsi="Montserrat"/>
        <w:b/>
        <w:sz w:val="14"/>
        <w:szCs w:val="14"/>
      </w:rPr>
    </w:pPr>
    <w:r w:rsidRPr="0035375B">
      <w:rPr>
        <w:rFonts w:ascii="Montserrat" w:hAnsi="Montserrat"/>
        <w:b/>
        <w:sz w:val="13"/>
        <w:szCs w:val="13"/>
      </w:rPr>
      <w:tab/>
    </w:r>
    <w:r w:rsidRPr="0035375B">
      <w:rPr>
        <w:rFonts w:ascii="Montserrat" w:hAnsi="Montserrat"/>
        <w:b/>
        <w:sz w:val="13"/>
        <w:szCs w:val="13"/>
      </w:rPr>
      <w:tab/>
    </w:r>
    <w:r w:rsidR="001509A5" w:rsidRPr="00B730B8">
      <w:rPr>
        <w:rFonts w:ascii="Montserrat" w:hAnsi="Montserrat"/>
        <w:b/>
        <w:sz w:val="14"/>
        <w:szCs w:val="14"/>
      </w:rPr>
      <w:t>Dirección General de Educación Superior</w:t>
    </w:r>
  </w:p>
  <w:p w14:paraId="4A355829" w14:textId="77777777" w:rsidR="009D2B83" w:rsidRDefault="001509A5" w:rsidP="00386F34">
    <w:pPr>
      <w:tabs>
        <w:tab w:val="left" w:pos="3054"/>
        <w:tab w:val="right" w:pos="9972"/>
      </w:tabs>
      <w:jc w:val="right"/>
      <w:rPr>
        <w:rFonts w:ascii="Montserrat" w:hAnsi="Montserrat"/>
        <w:b/>
        <w:sz w:val="14"/>
        <w:szCs w:val="14"/>
      </w:rPr>
    </w:pPr>
    <w:r w:rsidRPr="00B730B8">
      <w:rPr>
        <w:rFonts w:ascii="Montserrat" w:hAnsi="Montserrat"/>
        <w:b/>
        <w:sz w:val="14"/>
        <w:szCs w:val="14"/>
      </w:rPr>
      <w:t>Universitaria</w:t>
    </w:r>
    <w:r w:rsidR="00386F34" w:rsidRPr="00B730B8">
      <w:rPr>
        <w:rFonts w:ascii="Montserrat" w:hAnsi="Montserrat"/>
        <w:b/>
        <w:sz w:val="14"/>
        <w:szCs w:val="14"/>
      </w:rPr>
      <w:t xml:space="preserve"> </w:t>
    </w:r>
    <w:r w:rsidR="0035375B" w:rsidRPr="00B730B8">
      <w:rPr>
        <w:rFonts w:ascii="Montserrat" w:hAnsi="Montserrat"/>
        <w:b/>
        <w:sz w:val="14"/>
        <w:szCs w:val="14"/>
      </w:rPr>
      <w:t>e Intercultural</w:t>
    </w:r>
  </w:p>
  <w:p w14:paraId="7B83F42F" w14:textId="77777777" w:rsidR="004037CB" w:rsidRPr="00B730B8" w:rsidRDefault="004037CB" w:rsidP="00386F34">
    <w:pPr>
      <w:tabs>
        <w:tab w:val="left" w:pos="3054"/>
        <w:tab w:val="right" w:pos="9972"/>
      </w:tabs>
      <w:jc w:val="right"/>
      <w:rPr>
        <w:rFonts w:ascii="Montserrat" w:hAnsi="Montserrat"/>
        <w:b/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B8963" w14:textId="77777777" w:rsidR="00B66BE5" w:rsidRDefault="00B66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226BB7"/>
    <w:multiLevelType w:val="hybridMultilevel"/>
    <w:tmpl w:val="D9CB2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31633"/>
    <w:multiLevelType w:val="hybridMultilevel"/>
    <w:tmpl w:val="9174722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AFD4D4B"/>
    <w:multiLevelType w:val="hybridMultilevel"/>
    <w:tmpl w:val="EBE43A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E2F6F"/>
    <w:multiLevelType w:val="hybridMultilevel"/>
    <w:tmpl w:val="9F8893B6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10997"/>
    <w:rsid w:val="000110C4"/>
    <w:rsid w:val="000356F6"/>
    <w:rsid w:val="00050938"/>
    <w:rsid w:val="0005139C"/>
    <w:rsid w:val="00051EA6"/>
    <w:rsid w:val="00056575"/>
    <w:rsid w:val="0008788F"/>
    <w:rsid w:val="000A51A1"/>
    <w:rsid w:val="000A558A"/>
    <w:rsid w:val="000C7AB2"/>
    <w:rsid w:val="000D2FA5"/>
    <w:rsid w:val="000D3131"/>
    <w:rsid w:val="000E5AAC"/>
    <w:rsid w:val="000F7639"/>
    <w:rsid w:val="00105E4F"/>
    <w:rsid w:val="00114F26"/>
    <w:rsid w:val="0012317D"/>
    <w:rsid w:val="001237EC"/>
    <w:rsid w:val="00126F27"/>
    <w:rsid w:val="001509A5"/>
    <w:rsid w:val="00171A38"/>
    <w:rsid w:val="001727F6"/>
    <w:rsid w:val="00176E27"/>
    <w:rsid w:val="00190802"/>
    <w:rsid w:val="001956E9"/>
    <w:rsid w:val="001B788E"/>
    <w:rsid w:val="001D23C7"/>
    <w:rsid w:val="001E42E1"/>
    <w:rsid w:val="001E630B"/>
    <w:rsid w:val="0020730A"/>
    <w:rsid w:val="00216DA9"/>
    <w:rsid w:val="00224929"/>
    <w:rsid w:val="00235EB3"/>
    <w:rsid w:val="00272F52"/>
    <w:rsid w:val="0029079A"/>
    <w:rsid w:val="00293D51"/>
    <w:rsid w:val="002A1231"/>
    <w:rsid w:val="002A22A6"/>
    <w:rsid w:val="002C5F5C"/>
    <w:rsid w:val="002E3C97"/>
    <w:rsid w:val="002E777C"/>
    <w:rsid w:val="002F020C"/>
    <w:rsid w:val="003013D9"/>
    <w:rsid w:val="003125F0"/>
    <w:rsid w:val="0035030C"/>
    <w:rsid w:val="0035375B"/>
    <w:rsid w:val="00355507"/>
    <w:rsid w:val="00377417"/>
    <w:rsid w:val="00380265"/>
    <w:rsid w:val="00386AA0"/>
    <w:rsid w:val="00386F34"/>
    <w:rsid w:val="00387536"/>
    <w:rsid w:val="003D57D2"/>
    <w:rsid w:val="003E1398"/>
    <w:rsid w:val="003E37BB"/>
    <w:rsid w:val="003F2B1D"/>
    <w:rsid w:val="004029ED"/>
    <w:rsid w:val="004037CB"/>
    <w:rsid w:val="0044199B"/>
    <w:rsid w:val="00493615"/>
    <w:rsid w:val="004A3AF5"/>
    <w:rsid w:val="004A70DD"/>
    <w:rsid w:val="004C44D3"/>
    <w:rsid w:val="004D0855"/>
    <w:rsid w:val="00521D84"/>
    <w:rsid w:val="00524219"/>
    <w:rsid w:val="00541131"/>
    <w:rsid w:val="00544E07"/>
    <w:rsid w:val="00547BF4"/>
    <w:rsid w:val="005726D5"/>
    <w:rsid w:val="00584204"/>
    <w:rsid w:val="005C2D25"/>
    <w:rsid w:val="005C3F62"/>
    <w:rsid w:val="005D2916"/>
    <w:rsid w:val="005E74D5"/>
    <w:rsid w:val="005E7F99"/>
    <w:rsid w:val="005F59C2"/>
    <w:rsid w:val="00614C6E"/>
    <w:rsid w:val="00622D61"/>
    <w:rsid w:val="006266EE"/>
    <w:rsid w:val="00683F35"/>
    <w:rsid w:val="006A1EF3"/>
    <w:rsid w:val="006E0383"/>
    <w:rsid w:val="006E1420"/>
    <w:rsid w:val="006E1B95"/>
    <w:rsid w:val="006E1CE6"/>
    <w:rsid w:val="006F052E"/>
    <w:rsid w:val="00712F21"/>
    <w:rsid w:val="007233FF"/>
    <w:rsid w:val="00734CE5"/>
    <w:rsid w:val="00737465"/>
    <w:rsid w:val="007379F0"/>
    <w:rsid w:val="00741231"/>
    <w:rsid w:val="007616A3"/>
    <w:rsid w:val="00766B8F"/>
    <w:rsid w:val="00770889"/>
    <w:rsid w:val="007709F0"/>
    <w:rsid w:val="00775155"/>
    <w:rsid w:val="007C0E8C"/>
    <w:rsid w:val="007D3097"/>
    <w:rsid w:val="007F1FC7"/>
    <w:rsid w:val="00801167"/>
    <w:rsid w:val="0080225B"/>
    <w:rsid w:val="00803CAE"/>
    <w:rsid w:val="00804F9F"/>
    <w:rsid w:val="0081229F"/>
    <w:rsid w:val="00815468"/>
    <w:rsid w:val="00845CE9"/>
    <w:rsid w:val="008463E6"/>
    <w:rsid w:val="00863238"/>
    <w:rsid w:val="00864305"/>
    <w:rsid w:val="008716EB"/>
    <w:rsid w:val="008A5592"/>
    <w:rsid w:val="008A5F36"/>
    <w:rsid w:val="008B01DA"/>
    <w:rsid w:val="008B557A"/>
    <w:rsid w:val="008C18B6"/>
    <w:rsid w:val="008D4BDD"/>
    <w:rsid w:val="008E5CF1"/>
    <w:rsid w:val="008E68BC"/>
    <w:rsid w:val="00920D98"/>
    <w:rsid w:val="00925E2A"/>
    <w:rsid w:val="00940516"/>
    <w:rsid w:val="00956504"/>
    <w:rsid w:val="009654C9"/>
    <w:rsid w:val="0097475F"/>
    <w:rsid w:val="00977C84"/>
    <w:rsid w:val="00980DAF"/>
    <w:rsid w:val="00986809"/>
    <w:rsid w:val="009B62C8"/>
    <w:rsid w:val="009D2B83"/>
    <w:rsid w:val="009E09E3"/>
    <w:rsid w:val="009E4AB8"/>
    <w:rsid w:val="009E7B54"/>
    <w:rsid w:val="009F7324"/>
    <w:rsid w:val="00A03C18"/>
    <w:rsid w:val="00A457BB"/>
    <w:rsid w:val="00A81F2D"/>
    <w:rsid w:val="00A8271F"/>
    <w:rsid w:val="00A83E39"/>
    <w:rsid w:val="00A87A95"/>
    <w:rsid w:val="00AD4D51"/>
    <w:rsid w:val="00B12FD2"/>
    <w:rsid w:val="00B152BD"/>
    <w:rsid w:val="00B17A8F"/>
    <w:rsid w:val="00B218A6"/>
    <w:rsid w:val="00B61FC9"/>
    <w:rsid w:val="00B66BE5"/>
    <w:rsid w:val="00B730B8"/>
    <w:rsid w:val="00B74B0E"/>
    <w:rsid w:val="00B86C23"/>
    <w:rsid w:val="00BB2411"/>
    <w:rsid w:val="00BC6E01"/>
    <w:rsid w:val="00BD0D81"/>
    <w:rsid w:val="00BE468A"/>
    <w:rsid w:val="00BF0EB0"/>
    <w:rsid w:val="00C14970"/>
    <w:rsid w:val="00C2480C"/>
    <w:rsid w:val="00C41CA2"/>
    <w:rsid w:val="00C63EF5"/>
    <w:rsid w:val="00CA4377"/>
    <w:rsid w:val="00CA4D15"/>
    <w:rsid w:val="00CA7AA1"/>
    <w:rsid w:val="00CB1B6E"/>
    <w:rsid w:val="00CC3CC3"/>
    <w:rsid w:val="00CC55D6"/>
    <w:rsid w:val="00CC5F76"/>
    <w:rsid w:val="00CD2359"/>
    <w:rsid w:val="00CF7C1E"/>
    <w:rsid w:val="00D06DB4"/>
    <w:rsid w:val="00D14C96"/>
    <w:rsid w:val="00D26FA6"/>
    <w:rsid w:val="00DD71E8"/>
    <w:rsid w:val="00E213FE"/>
    <w:rsid w:val="00E459A5"/>
    <w:rsid w:val="00E569F3"/>
    <w:rsid w:val="00E6723A"/>
    <w:rsid w:val="00E74198"/>
    <w:rsid w:val="00E80856"/>
    <w:rsid w:val="00E819A0"/>
    <w:rsid w:val="00E93567"/>
    <w:rsid w:val="00E963A0"/>
    <w:rsid w:val="00EB44BA"/>
    <w:rsid w:val="00F14542"/>
    <w:rsid w:val="00F309AF"/>
    <w:rsid w:val="00F36116"/>
    <w:rsid w:val="00F44A7F"/>
    <w:rsid w:val="00F752D3"/>
    <w:rsid w:val="00F7743D"/>
    <w:rsid w:val="00F94A8C"/>
    <w:rsid w:val="00FA4976"/>
    <w:rsid w:val="00FC70D8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2E309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Heading6">
    <w:name w:val="heading 6"/>
    <w:basedOn w:val="Normal"/>
    <w:next w:val="Normal"/>
    <w:link w:val="Heading6Char"/>
    <w:uiPriority w:val="9"/>
    <w:qFormat/>
    <w:rsid w:val="007D3097"/>
    <w:pPr>
      <w:keepNext/>
      <w:outlineLvl w:val="5"/>
    </w:pPr>
    <w:rPr>
      <w:rFonts w:ascii="EurekaSans-Light" w:eastAsia="Times New Roman" w:hAnsi="EurekaSans-Light" w:cs="Arial"/>
      <w:b/>
      <w:bCs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83"/>
  </w:style>
  <w:style w:type="paragraph" w:styleId="Footer">
    <w:name w:val="footer"/>
    <w:basedOn w:val="Normal"/>
    <w:link w:val="FooterCh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83"/>
  </w:style>
  <w:style w:type="paragraph" w:styleId="BalloonText">
    <w:name w:val="Balloon Text"/>
    <w:basedOn w:val="Normal"/>
    <w:link w:val="BalloonTextCh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5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C55D6"/>
    <w:rPr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CC55D6"/>
    <w:rPr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D3097"/>
    <w:rPr>
      <w:rFonts w:ascii="EurekaSans-Light" w:eastAsia="Times New Roman" w:hAnsi="EurekaSans-Light" w:cs="Arial"/>
      <w:b/>
      <w:bCs/>
      <w:lang w:eastAsia="es-ES"/>
    </w:rPr>
  </w:style>
  <w:style w:type="table" w:styleId="TableGrid">
    <w:name w:val="Table Grid"/>
    <w:basedOn w:val="TableNormal"/>
    <w:uiPriority w:val="39"/>
    <w:rsid w:val="0035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741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romepca.sep.gob.mx/solicitudesv3/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romep.sep.gob.mx/solicitudesv3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gesui.ses.sep.gob.mx/programas/programa-para-el-desarrollo-profesional-docente-para-el-tipo-superior-prodep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764736257F3F46A4EC71BF4FF7D0F6" ma:contentTypeVersion="1" ma:contentTypeDescription="Crear nuevo documento." ma:contentTypeScope="" ma:versionID="74633633468603e158d3f4cf8c26b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A2EE5-2E3C-4348-81F0-1F19737A90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41BAAF-911A-4896-8574-90D46968A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52B25-429A-4010-9415-8592B655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Laura Gabriela Aguilar Medina</cp:lastModifiedBy>
  <cp:revision>8</cp:revision>
  <cp:lastPrinted>2021-06-17T23:50:00Z</cp:lastPrinted>
  <dcterms:created xsi:type="dcterms:W3CDTF">2021-06-23T18:52:00Z</dcterms:created>
  <dcterms:modified xsi:type="dcterms:W3CDTF">2021-06-29T01:22:00Z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0x0101000B764736257F3F46A4EC71BF4FF7D0F6</vt:lpwstr>
  </property>
</Properties>
</file>